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5ED33" w14:textId="77777777" w:rsidR="007C240B" w:rsidRDefault="007C240B">
      <w:pPr>
        <w:jc w:val="center"/>
        <w:rPr>
          <w:b/>
          <w:sz w:val="24"/>
          <w:szCs w:val="24"/>
        </w:rPr>
      </w:pPr>
    </w:p>
    <w:p w14:paraId="484982D6" w14:textId="77777777" w:rsidR="007C240B" w:rsidRDefault="007C240B">
      <w:pPr>
        <w:jc w:val="center"/>
        <w:rPr>
          <w:b/>
          <w:sz w:val="24"/>
          <w:szCs w:val="24"/>
        </w:rPr>
      </w:pPr>
    </w:p>
    <w:p w14:paraId="472D2641" w14:textId="77777777" w:rsidR="007C240B" w:rsidRDefault="007C240B">
      <w:pPr>
        <w:rPr>
          <w:rFonts w:ascii="Titillium Web" w:eastAsia="Titillium Web" w:hAnsi="Titillium Web" w:cs="Titillium Web"/>
          <w:b/>
          <w:sz w:val="72"/>
          <w:szCs w:val="72"/>
        </w:rPr>
      </w:pPr>
    </w:p>
    <w:p w14:paraId="2A2175A3" w14:textId="77777777" w:rsidR="007C240B" w:rsidRPr="000A37CF" w:rsidRDefault="00000000">
      <w:pPr>
        <w:jc w:val="center"/>
        <w:rPr>
          <w:rFonts w:ascii="Titillium Web" w:eastAsia="Titillium Web" w:hAnsi="Titillium Web" w:cs="Titillium Web"/>
          <w:b/>
          <w:sz w:val="64"/>
          <w:szCs w:val="64"/>
          <w:lang w:val="en-GB"/>
        </w:rPr>
      </w:pPr>
      <w:r w:rsidRPr="000A37CF">
        <w:rPr>
          <w:rFonts w:ascii="Titillium Web" w:eastAsia="Titillium Web" w:hAnsi="Titillium Web" w:cs="Titillium Web"/>
          <w:b/>
          <w:sz w:val="64"/>
          <w:szCs w:val="64"/>
          <w:lang w:val="en-GB"/>
        </w:rPr>
        <w:t xml:space="preserve">Option </w:t>
      </w:r>
      <w:proofErr w:type="spellStart"/>
      <w:r w:rsidRPr="000A37CF">
        <w:rPr>
          <w:rFonts w:ascii="Titillium Web" w:eastAsia="Titillium Web" w:hAnsi="Titillium Web" w:cs="Titillium Web"/>
          <w:b/>
          <w:sz w:val="64"/>
          <w:szCs w:val="64"/>
          <w:lang w:val="en-GB"/>
        </w:rPr>
        <w:t>Ingénierie</w:t>
      </w:r>
      <w:proofErr w:type="spellEnd"/>
      <w:r w:rsidRPr="000A37CF">
        <w:rPr>
          <w:rFonts w:ascii="Titillium Web" w:eastAsia="Titillium Web" w:hAnsi="Titillium Web" w:cs="Titillium Web"/>
          <w:b/>
          <w:sz w:val="64"/>
          <w:szCs w:val="64"/>
          <w:lang w:val="en-GB"/>
        </w:rPr>
        <w:t xml:space="preserve"> des low-tech</w:t>
      </w:r>
    </w:p>
    <w:p w14:paraId="60AAC8E0" w14:textId="77777777" w:rsidR="007C240B" w:rsidRPr="000A37CF" w:rsidRDefault="00000000">
      <w:pPr>
        <w:jc w:val="center"/>
        <w:rPr>
          <w:rFonts w:ascii="Titillium Web" w:eastAsia="Titillium Web" w:hAnsi="Titillium Web" w:cs="Titillium Web"/>
          <w:sz w:val="30"/>
          <w:szCs w:val="30"/>
          <w:lang w:val="en-GB"/>
        </w:rPr>
      </w:pPr>
      <w:r w:rsidRPr="000A37CF">
        <w:rPr>
          <w:rFonts w:ascii="Titillium Web" w:eastAsia="Titillium Web" w:hAnsi="Titillium Web" w:cs="Titillium Web"/>
          <w:sz w:val="48"/>
          <w:szCs w:val="48"/>
          <w:lang w:val="en-GB"/>
        </w:rPr>
        <w:t>WELOW - We Explore Low-tech</w:t>
      </w:r>
    </w:p>
    <w:p w14:paraId="12E93157" w14:textId="77777777" w:rsidR="007C240B" w:rsidRPr="000A37CF" w:rsidRDefault="007C240B">
      <w:pPr>
        <w:jc w:val="center"/>
        <w:rPr>
          <w:b/>
          <w:sz w:val="24"/>
          <w:szCs w:val="24"/>
          <w:lang w:val="en-GB"/>
        </w:rPr>
      </w:pPr>
    </w:p>
    <w:p w14:paraId="171682AB" w14:textId="77777777" w:rsidR="007C240B" w:rsidRPr="000A37CF" w:rsidRDefault="007C240B">
      <w:pPr>
        <w:jc w:val="center"/>
        <w:rPr>
          <w:b/>
          <w:sz w:val="24"/>
          <w:szCs w:val="24"/>
          <w:lang w:val="en-GB"/>
        </w:rPr>
      </w:pPr>
    </w:p>
    <w:p w14:paraId="559F861A" w14:textId="77777777" w:rsidR="007C240B" w:rsidRDefault="00000000">
      <w:pPr>
        <w:jc w:val="center"/>
        <w:rPr>
          <w:b/>
          <w:sz w:val="24"/>
          <w:szCs w:val="24"/>
        </w:rPr>
      </w:pPr>
      <w:r>
        <w:rPr>
          <w:b/>
          <w:sz w:val="24"/>
          <w:szCs w:val="24"/>
        </w:rPr>
        <w:t>2022-2023</w:t>
      </w:r>
    </w:p>
    <w:p w14:paraId="3C2BF348" w14:textId="77777777" w:rsidR="007C240B" w:rsidRDefault="007C240B" w:rsidP="009C78E7">
      <w:pPr>
        <w:rPr>
          <w:b/>
          <w:sz w:val="24"/>
          <w:szCs w:val="24"/>
        </w:rPr>
      </w:pPr>
    </w:p>
    <w:p w14:paraId="7D20D4BD" w14:textId="77777777" w:rsidR="007C240B" w:rsidRDefault="007C240B">
      <w:pPr>
        <w:jc w:val="center"/>
        <w:rPr>
          <w:b/>
          <w:sz w:val="24"/>
          <w:szCs w:val="24"/>
        </w:rPr>
      </w:pPr>
    </w:p>
    <w:p w14:paraId="6F8E50B7" w14:textId="77777777" w:rsidR="007C240B" w:rsidRDefault="007C240B">
      <w:pPr>
        <w:jc w:val="center"/>
        <w:rPr>
          <w:b/>
          <w:sz w:val="24"/>
          <w:szCs w:val="24"/>
        </w:rPr>
      </w:pPr>
    </w:p>
    <w:p w14:paraId="41BB78A3" w14:textId="77777777" w:rsidR="007C240B" w:rsidRDefault="007C240B">
      <w:pPr>
        <w:jc w:val="center"/>
        <w:rPr>
          <w:b/>
          <w:sz w:val="24"/>
          <w:szCs w:val="24"/>
        </w:rPr>
      </w:pPr>
    </w:p>
    <w:p w14:paraId="500FDE4E" w14:textId="77777777" w:rsidR="007C240B" w:rsidRDefault="007C240B">
      <w:pPr>
        <w:jc w:val="center"/>
        <w:rPr>
          <w:b/>
          <w:sz w:val="24"/>
          <w:szCs w:val="24"/>
        </w:rPr>
      </w:pPr>
    </w:p>
    <w:p w14:paraId="0BD02F0E" w14:textId="77777777" w:rsidR="007C240B" w:rsidRDefault="007C240B">
      <w:pPr>
        <w:jc w:val="center"/>
        <w:rPr>
          <w:b/>
          <w:sz w:val="24"/>
          <w:szCs w:val="24"/>
        </w:rPr>
      </w:pPr>
    </w:p>
    <w:p w14:paraId="4CA9E1F5" w14:textId="77777777" w:rsidR="007C240B" w:rsidRDefault="007C240B">
      <w:pPr>
        <w:jc w:val="center"/>
        <w:rPr>
          <w:b/>
          <w:sz w:val="24"/>
          <w:szCs w:val="24"/>
        </w:rPr>
      </w:pPr>
    </w:p>
    <w:p w14:paraId="2C4E64D9" w14:textId="77777777" w:rsidR="007C240B" w:rsidRDefault="007C240B">
      <w:pPr>
        <w:jc w:val="center"/>
        <w:rPr>
          <w:b/>
          <w:sz w:val="24"/>
          <w:szCs w:val="24"/>
        </w:rPr>
      </w:pPr>
    </w:p>
    <w:p w14:paraId="567FA170" w14:textId="77777777" w:rsidR="007C240B" w:rsidRDefault="007C240B">
      <w:pPr>
        <w:jc w:val="center"/>
        <w:rPr>
          <w:b/>
          <w:sz w:val="24"/>
          <w:szCs w:val="24"/>
        </w:rPr>
      </w:pPr>
    </w:p>
    <w:p w14:paraId="79611FE6" w14:textId="77777777" w:rsidR="007C240B" w:rsidRDefault="00000000">
      <w:pPr>
        <w:pStyle w:val="Title"/>
        <w:jc w:val="center"/>
        <w:rPr>
          <w:rFonts w:ascii="Titillium Web" w:eastAsia="Titillium Web" w:hAnsi="Titillium Web" w:cs="Titillium Web"/>
          <w:b/>
        </w:rPr>
      </w:pPr>
      <w:bookmarkStart w:id="0" w:name="_et5jhzkyuc4j" w:colFirst="0" w:colLast="0"/>
      <w:bookmarkEnd w:id="0"/>
      <w:r>
        <w:rPr>
          <w:rFonts w:ascii="Titillium Web" w:eastAsia="Titillium Web" w:hAnsi="Titillium Web" w:cs="Titillium Web"/>
          <w:b/>
        </w:rPr>
        <w:t>SOMMAIRE :</w:t>
      </w:r>
    </w:p>
    <w:p w14:paraId="1E11AF12" w14:textId="77777777" w:rsidR="007C240B" w:rsidRDefault="007C240B">
      <w:pPr>
        <w:rPr>
          <w:b/>
          <w:sz w:val="24"/>
          <w:szCs w:val="24"/>
        </w:rPr>
      </w:pPr>
    </w:p>
    <w:p w14:paraId="7679C21E" w14:textId="7CEDFD32" w:rsidR="007C240B" w:rsidRDefault="00000000">
      <w:pPr>
        <w:rPr>
          <w:b/>
          <w:sz w:val="24"/>
          <w:szCs w:val="24"/>
        </w:rPr>
      </w:pPr>
      <w:r>
        <w:rPr>
          <w:b/>
          <w:sz w:val="24"/>
          <w:szCs w:val="24"/>
        </w:rPr>
        <w:t>La démarche low-tech</w:t>
      </w:r>
    </w:p>
    <w:p w14:paraId="3818FBA6" w14:textId="77777777" w:rsidR="007C240B" w:rsidRDefault="00000000">
      <w:pPr>
        <w:ind w:firstLine="720"/>
        <w:rPr>
          <w:b/>
          <w:sz w:val="24"/>
          <w:szCs w:val="24"/>
        </w:rPr>
      </w:pPr>
      <w:r>
        <w:rPr>
          <w:b/>
          <w:sz w:val="24"/>
          <w:szCs w:val="24"/>
        </w:rPr>
        <w:t>1/ Introduction</w:t>
      </w:r>
    </w:p>
    <w:p w14:paraId="317AE7CC" w14:textId="77777777" w:rsidR="007C240B" w:rsidRDefault="00000000">
      <w:pPr>
        <w:ind w:firstLine="720"/>
        <w:rPr>
          <w:b/>
          <w:sz w:val="24"/>
          <w:szCs w:val="24"/>
        </w:rPr>
      </w:pPr>
      <w:r>
        <w:rPr>
          <w:b/>
          <w:sz w:val="24"/>
          <w:szCs w:val="24"/>
        </w:rPr>
        <w:t>2/ Définitions</w:t>
      </w:r>
    </w:p>
    <w:p w14:paraId="531B4471" w14:textId="77777777" w:rsidR="007C240B" w:rsidRDefault="00000000">
      <w:pPr>
        <w:rPr>
          <w:b/>
          <w:sz w:val="24"/>
          <w:szCs w:val="24"/>
        </w:rPr>
      </w:pPr>
      <w:r>
        <w:rPr>
          <w:b/>
          <w:sz w:val="24"/>
          <w:szCs w:val="24"/>
        </w:rPr>
        <w:tab/>
      </w:r>
      <w:r>
        <w:rPr>
          <w:b/>
          <w:sz w:val="24"/>
          <w:szCs w:val="24"/>
        </w:rPr>
        <w:tab/>
      </w:r>
      <w:proofErr w:type="gramStart"/>
      <w:r>
        <w:rPr>
          <w:b/>
          <w:sz w:val="24"/>
          <w:szCs w:val="24"/>
        </w:rPr>
        <w:t>2.1  Une</w:t>
      </w:r>
      <w:proofErr w:type="gramEnd"/>
      <w:r>
        <w:rPr>
          <w:b/>
          <w:sz w:val="24"/>
          <w:szCs w:val="24"/>
        </w:rPr>
        <w:t xml:space="preserve"> démarche démocratique</w:t>
      </w:r>
    </w:p>
    <w:p w14:paraId="581D79E4" w14:textId="77777777" w:rsidR="007C240B" w:rsidRDefault="00000000">
      <w:pPr>
        <w:rPr>
          <w:b/>
          <w:sz w:val="24"/>
          <w:szCs w:val="24"/>
        </w:rPr>
      </w:pPr>
      <w:r>
        <w:rPr>
          <w:b/>
          <w:sz w:val="24"/>
          <w:szCs w:val="24"/>
        </w:rPr>
        <w:tab/>
      </w:r>
      <w:r>
        <w:rPr>
          <w:b/>
          <w:sz w:val="24"/>
          <w:szCs w:val="24"/>
        </w:rPr>
        <w:tab/>
        <w:t>2.2 Croisement des définitions des acteurs low-techs</w:t>
      </w:r>
    </w:p>
    <w:p w14:paraId="7DDA0DAB" w14:textId="77777777" w:rsidR="007C240B" w:rsidRDefault="00000000">
      <w:pPr>
        <w:ind w:firstLine="720"/>
        <w:rPr>
          <w:b/>
          <w:sz w:val="24"/>
          <w:szCs w:val="24"/>
        </w:rPr>
      </w:pPr>
      <w:r>
        <w:rPr>
          <w:b/>
          <w:sz w:val="24"/>
          <w:szCs w:val="24"/>
        </w:rPr>
        <w:t>3/ Contexte des low-techs dans la société</w:t>
      </w:r>
    </w:p>
    <w:p w14:paraId="314B6444" w14:textId="77777777" w:rsidR="007C240B" w:rsidRDefault="007C240B">
      <w:pPr>
        <w:rPr>
          <w:b/>
          <w:sz w:val="24"/>
          <w:szCs w:val="24"/>
        </w:rPr>
      </w:pPr>
    </w:p>
    <w:p w14:paraId="501C1DB8" w14:textId="77777777" w:rsidR="007C240B" w:rsidRDefault="007C240B">
      <w:pPr>
        <w:jc w:val="center"/>
        <w:rPr>
          <w:b/>
          <w:sz w:val="24"/>
          <w:szCs w:val="24"/>
        </w:rPr>
      </w:pPr>
    </w:p>
    <w:p w14:paraId="61AD0BC9" w14:textId="77777777" w:rsidR="007C240B" w:rsidRDefault="007C240B">
      <w:pPr>
        <w:jc w:val="center"/>
        <w:rPr>
          <w:b/>
          <w:sz w:val="24"/>
          <w:szCs w:val="24"/>
        </w:rPr>
      </w:pPr>
    </w:p>
    <w:p w14:paraId="46AA0618" w14:textId="77777777" w:rsidR="007C240B" w:rsidRDefault="007C240B">
      <w:pPr>
        <w:jc w:val="center"/>
        <w:rPr>
          <w:b/>
          <w:sz w:val="24"/>
          <w:szCs w:val="24"/>
        </w:rPr>
      </w:pPr>
    </w:p>
    <w:p w14:paraId="03B8AC07" w14:textId="77777777" w:rsidR="007C240B" w:rsidRDefault="007C240B">
      <w:pPr>
        <w:jc w:val="center"/>
        <w:rPr>
          <w:b/>
          <w:sz w:val="24"/>
          <w:szCs w:val="24"/>
        </w:rPr>
      </w:pPr>
    </w:p>
    <w:p w14:paraId="5EAC2BD5" w14:textId="77777777" w:rsidR="007C240B" w:rsidRDefault="007C240B">
      <w:pPr>
        <w:jc w:val="center"/>
        <w:rPr>
          <w:b/>
          <w:sz w:val="24"/>
          <w:szCs w:val="24"/>
        </w:rPr>
      </w:pPr>
    </w:p>
    <w:p w14:paraId="0E1A796D" w14:textId="77777777" w:rsidR="007C240B" w:rsidRDefault="007C240B">
      <w:pPr>
        <w:jc w:val="center"/>
        <w:rPr>
          <w:b/>
          <w:sz w:val="24"/>
          <w:szCs w:val="24"/>
        </w:rPr>
      </w:pPr>
    </w:p>
    <w:p w14:paraId="28B1056B" w14:textId="77777777" w:rsidR="007C240B" w:rsidRDefault="007C240B">
      <w:pPr>
        <w:jc w:val="center"/>
        <w:rPr>
          <w:b/>
          <w:sz w:val="24"/>
          <w:szCs w:val="24"/>
        </w:rPr>
      </w:pPr>
    </w:p>
    <w:p w14:paraId="2A29A3E7" w14:textId="77777777" w:rsidR="007C240B" w:rsidRDefault="007C240B">
      <w:pPr>
        <w:jc w:val="center"/>
        <w:rPr>
          <w:b/>
          <w:sz w:val="24"/>
          <w:szCs w:val="24"/>
        </w:rPr>
      </w:pPr>
    </w:p>
    <w:p w14:paraId="1A819A14" w14:textId="77777777" w:rsidR="007C240B" w:rsidRDefault="007C240B">
      <w:pPr>
        <w:jc w:val="center"/>
        <w:rPr>
          <w:b/>
          <w:sz w:val="24"/>
          <w:szCs w:val="24"/>
        </w:rPr>
      </w:pPr>
    </w:p>
    <w:p w14:paraId="43388235" w14:textId="77777777" w:rsidR="007C240B" w:rsidRDefault="007C240B" w:rsidP="009C78E7">
      <w:pPr>
        <w:rPr>
          <w:rFonts w:ascii="Georgia" w:eastAsia="Georgia" w:hAnsi="Georgia" w:cs="Georgia"/>
          <w:b/>
          <w:sz w:val="24"/>
          <w:szCs w:val="24"/>
        </w:rPr>
      </w:pPr>
    </w:p>
    <w:p w14:paraId="69E7FB46" w14:textId="77777777" w:rsidR="007C240B" w:rsidRDefault="007C240B">
      <w:pPr>
        <w:jc w:val="center"/>
        <w:rPr>
          <w:rFonts w:ascii="Georgia" w:eastAsia="Georgia" w:hAnsi="Georgia" w:cs="Georgia"/>
          <w:b/>
          <w:sz w:val="24"/>
          <w:szCs w:val="24"/>
        </w:rPr>
      </w:pPr>
    </w:p>
    <w:p w14:paraId="039FAC56" w14:textId="77777777" w:rsidR="007C240B" w:rsidRDefault="00000000">
      <w:pPr>
        <w:pStyle w:val="Heading1"/>
        <w:rPr>
          <w:rFonts w:ascii="Georgia" w:eastAsia="Georgia" w:hAnsi="Georgia" w:cs="Georgia"/>
          <w:b/>
          <w:color w:val="666666"/>
        </w:rPr>
      </w:pPr>
      <w:bookmarkStart w:id="1" w:name="_bm9coftr7bwe" w:colFirst="0" w:colLast="0"/>
      <w:bookmarkEnd w:id="1"/>
      <w:r>
        <w:rPr>
          <w:rFonts w:ascii="Georgia" w:eastAsia="Georgia" w:hAnsi="Georgia" w:cs="Georgia"/>
          <w:b/>
          <w:color w:val="666666"/>
        </w:rPr>
        <w:lastRenderedPageBreak/>
        <w:t>1/ Introduction</w:t>
      </w:r>
    </w:p>
    <w:p w14:paraId="1FA3150B" w14:textId="77777777" w:rsidR="007C240B" w:rsidRDefault="00000000">
      <w:pPr>
        <w:jc w:val="both"/>
        <w:rPr>
          <w:rFonts w:ascii="Georgia" w:eastAsia="Georgia" w:hAnsi="Georgia" w:cs="Georgia"/>
          <w:sz w:val="24"/>
          <w:szCs w:val="24"/>
        </w:rPr>
      </w:pPr>
      <w:r>
        <w:rPr>
          <w:rFonts w:ascii="Georgia" w:eastAsia="Georgia" w:hAnsi="Georgia" w:cs="Georgia"/>
          <w:i/>
          <w:sz w:val="24"/>
          <w:szCs w:val="24"/>
          <w:u w:val="single"/>
        </w:rPr>
        <w:t>Selon l’ADEME*</w:t>
      </w:r>
      <w:r>
        <w:rPr>
          <w:rFonts w:ascii="Georgia" w:eastAsia="Georgia" w:hAnsi="Georgia" w:cs="Georgia"/>
          <w:sz w:val="24"/>
          <w:szCs w:val="24"/>
        </w:rPr>
        <w:t>, changer de mode de consommation vers la sobriété est une véritable bataille des imaginaires et des normes sociales.</w:t>
      </w:r>
    </w:p>
    <w:p w14:paraId="4E6B0A82" w14:textId="77777777" w:rsidR="007C240B" w:rsidRDefault="00000000">
      <w:pPr>
        <w:widowControl w:val="0"/>
        <w:spacing w:line="240" w:lineRule="auto"/>
        <w:jc w:val="both"/>
        <w:rPr>
          <w:rFonts w:ascii="Georgia" w:eastAsia="Georgia" w:hAnsi="Georgia" w:cs="Georgia"/>
          <w:sz w:val="24"/>
          <w:szCs w:val="24"/>
        </w:rPr>
      </w:pPr>
      <w:r>
        <w:rPr>
          <w:rFonts w:ascii="Georgia" w:eastAsia="Georgia" w:hAnsi="Georgia" w:cs="Georgia"/>
          <w:sz w:val="24"/>
          <w:szCs w:val="24"/>
        </w:rPr>
        <w:t xml:space="preserve">Le lien entre sobriété et qualité de vie, santé, convivialité et bien-être reste donc à mettre en évidence pour une partie de la population. Il est ainsi essentiel de </w:t>
      </w:r>
      <w:r>
        <w:rPr>
          <w:rFonts w:ascii="Georgia" w:eastAsia="Georgia" w:hAnsi="Georgia" w:cs="Georgia"/>
          <w:b/>
          <w:sz w:val="24"/>
          <w:szCs w:val="24"/>
        </w:rPr>
        <w:t xml:space="preserve">documenter les impacts et </w:t>
      </w:r>
      <w:proofErr w:type="spellStart"/>
      <w:r>
        <w:rPr>
          <w:rFonts w:ascii="Georgia" w:eastAsia="Georgia" w:hAnsi="Georgia" w:cs="Georgia"/>
          <w:b/>
          <w:sz w:val="24"/>
          <w:szCs w:val="24"/>
        </w:rPr>
        <w:t>co</w:t>
      </w:r>
      <w:proofErr w:type="spellEnd"/>
      <w:r>
        <w:rPr>
          <w:rFonts w:ascii="Georgia" w:eastAsia="Georgia" w:hAnsi="Georgia" w:cs="Georgia"/>
          <w:b/>
          <w:sz w:val="24"/>
          <w:szCs w:val="24"/>
        </w:rPr>
        <w:t>-bénéfices des démarches de sobriété</w:t>
      </w:r>
      <w:r>
        <w:rPr>
          <w:rFonts w:ascii="Georgia" w:eastAsia="Georgia" w:hAnsi="Georgia" w:cs="Georgia"/>
          <w:sz w:val="24"/>
          <w:szCs w:val="24"/>
        </w:rPr>
        <w:t xml:space="preserve"> ainsi que les transformations organisationnelles, sociales et bien évidemment économiques nécessaires pour construire d’autres formes de scénarios de « vie future » et </w:t>
      </w:r>
      <w:r>
        <w:rPr>
          <w:rFonts w:ascii="Georgia" w:eastAsia="Georgia" w:hAnsi="Georgia" w:cs="Georgia"/>
          <w:b/>
          <w:sz w:val="24"/>
          <w:szCs w:val="24"/>
        </w:rPr>
        <w:t>d’imaginaires collectifs.</w:t>
      </w:r>
    </w:p>
    <w:p w14:paraId="7B7EE9F3" w14:textId="77777777" w:rsidR="007C240B" w:rsidRDefault="007C240B">
      <w:pPr>
        <w:widowControl w:val="0"/>
        <w:spacing w:line="240" w:lineRule="auto"/>
        <w:jc w:val="both"/>
        <w:rPr>
          <w:rFonts w:ascii="Georgia" w:eastAsia="Georgia" w:hAnsi="Georgia" w:cs="Georgia"/>
          <w:sz w:val="24"/>
          <w:szCs w:val="24"/>
        </w:rPr>
      </w:pPr>
    </w:p>
    <w:p w14:paraId="4EE20F7B" w14:textId="77777777" w:rsidR="007C240B" w:rsidRDefault="007C240B">
      <w:pPr>
        <w:jc w:val="both"/>
        <w:rPr>
          <w:rFonts w:ascii="Georgia" w:eastAsia="Georgia" w:hAnsi="Georgia" w:cs="Georgia"/>
          <w:sz w:val="24"/>
          <w:szCs w:val="24"/>
        </w:rPr>
      </w:pPr>
    </w:p>
    <w:p w14:paraId="71570AE4" w14:textId="51174F2A" w:rsidR="007C240B" w:rsidRDefault="00000000">
      <w:pPr>
        <w:spacing w:after="240"/>
        <w:jc w:val="both"/>
        <w:rPr>
          <w:rFonts w:ascii="Georgia" w:eastAsia="Georgia" w:hAnsi="Georgia" w:cs="Georgia"/>
          <w:sz w:val="24"/>
          <w:szCs w:val="24"/>
        </w:rPr>
      </w:pPr>
      <w:r>
        <w:rPr>
          <w:rFonts w:ascii="Georgia" w:eastAsia="Georgia" w:hAnsi="Georgia" w:cs="Georgia"/>
          <w:sz w:val="24"/>
          <w:szCs w:val="24"/>
        </w:rPr>
        <w:t xml:space="preserve">La low-tech offre une </w:t>
      </w:r>
      <w:r>
        <w:rPr>
          <w:rFonts w:ascii="Georgia" w:eastAsia="Georgia" w:hAnsi="Georgia" w:cs="Georgia"/>
          <w:b/>
          <w:sz w:val="24"/>
          <w:szCs w:val="24"/>
        </w:rPr>
        <w:t>voie alternative face aux problèmes sociaux, environnementaux</w:t>
      </w:r>
      <w:r>
        <w:rPr>
          <w:rFonts w:ascii="Georgia" w:eastAsia="Georgia" w:hAnsi="Georgia" w:cs="Georgia"/>
          <w:sz w:val="24"/>
          <w:szCs w:val="24"/>
        </w:rPr>
        <w:t xml:space="preserve">. Le constat de nos jours est de faire face aux high techs et à leurs besoins croissants en énergie. La </w:t>
      </w:r>
      <w:r>
        <w:rPr>
          <w:rFonts w:ascii="Georgia" w:eastAsia="Georgia" w:hAnsi="Georgia" w:cs="Georgia"/>
          <w:b/>
          <w:sz w:val="24"/>
          <w:szCs w:val="24"/>
        </w:rPr>
        <w:t>démarche low-tech souhaite dépasser l'opposition low-tech</w:t>
      </w:r>
      <w:r>
        <w:rPr>
          <w:rFonts w:ascii="Georgia" w:eastAsia="Georgia" w:hAnsi="Georgia" w:cs="Georgia"/>
          <w:sz w:val="24"/>
          <w:szCs w:val="24"/>
        </w:rPr>
        <w:t xml:space="preserve">, high-tech pour mettre l'innovation où elle est utile. Les innovations sont menées, mais sous contraintes et ont pour but de rechercher, développer des valeurs ignorées d'objets, de techniques afin de répondre aux enjeux du XXIème siècle (Notion intéressante : le rétro-futur, quand les innovations du passé répondent aux enjeux actuels). La </w:t>
      </w:r>
      <w:r>
        <w:rPr>
          <w:rFonts w:ascii="Georgia" w:eastAsia="Georgia" w:hAnsi="Georgia" w:cs="Georgia"/>
          <w:b/>
          <w:sz w:val="24"/>
          <w:szCs w:val="24"/>
        </w:rPr>
        <w:t>combinaison judicieuse low-tech / high-tech</w:t>
      </w:r>
      <w:r>
        <w:rPr>
          <w:rFonts w:ascii="Georgia" w:eastAsia="Georgia" w:hAnsi="Georgia" w:cs="Georgia"/>
          <w:sz w:val="24"/>
          <w:szCs w:val="24"/>
        </w:rPr>
        <w:t xml:space="preserve"> pourrait permettre la transition écologique.</w:t>
      </w:r>
    </w:p>
    <w:p w14:paraId="3349BF52" w14:textId="77777777" w:rsidR="007C240B" w:rsidRDefault="007C240B">
      <w:pPr>
        <w:spacing w:after="240"/>
        <w:jc w:val="both"/>
        <w:rPr>
          <w:rFonts w:ascii="Georgia" w:eastAsia="Georgia" w:hAnsi="Georgia" w:cs="Georgia"/>
          <w:sz w:val="24"/>
          <w:szCs w:val="24"/>
        </w:rPr>
      </w:pPr>
    </w:p>
    <w:p w14:paraId="2F3D753F" w14:textId="77777777" w:rsidR="007C240B" w:rsidRDefault="00000000">
      <w:pPr>
        <w:widowControl w:val="0"/>
        <w:spacing w:line="240" w:lineRule="auto"/>
        <w:rPr>
          <w:rFonts w:ascii="Georgia" w:eastAsia="Georgia" w:hAnsi="Georgia" w:cs="Georgia"/>
        </w:rPr>
      </w:pPr>
      <w:r>
        <w:pict w14:anchorId="6521F457">
          <v:rect id="_x0000_i1025" style="width:0;height:1.5pt" o:hralign="center" o:hrstd="t" o:hr="t" fillcolor="#a0a0a0" stroked="f"/>
        </w:pict>
      </w:r>
    </w:p>
    <w:p w14:paraId="63C7BE29" w14:textId="77777777" w:rsidR="007C240B" w:rsidRDefault="007C240B">
      <w:pPr>
        <w:widowControl w:val="0"/>
        <w:spacing w:line="240" w:lineRule="auto"/>
        <w:rPr>
          <w:rFonts w:ascii="Georgia" w:eastAsia="Georgia" w:hAnsi="Georgia" w:cs="Georgia"/>
        </w:rPr>
      </w:pPr>
    </w:p>
    <w:p w14:paraId="00D727A8" w14:textId="77777777" w:rsidR="007C240B" w:rsidRDefault="00000000">
      <w:pPr>
        <w:widowControl w:val="0"/>
        <w:spacing w:line="240" w:lineRule="auto"/>
        <w:rPr>
          <w:rFonts w:ascii="Georgia" w:eastAsia="Georgia" w:hAnsi="Georgia" w:cs="Georgia"/>
          <w:sz w:val="24"/>
          <w:szCs w:val="24"/>
        </w:rPr>
      </w:pPr>
      <w:r>
        <w:rPr>
          <w:rFonts w:ascii="Georgia" w:eastAsia="Georgia" w:hAnsi="Georgia" w:cs="Georgia"/>
        </w:rPr>
        <w:t>*:</w:t>
      </w:r>
      <w:hyperlink r:id="rId7">
        <w:r>
          <w:rPr>
            <w:rFonts w:ascii="Georgia" w:eastAsia="Georgia" w:hAnsi="Georgia" w:cs="Georgia"/>
            <w:color w:val="1155CC"/>
            <w:sz w:val="26"/>
            <w:szCs w:val="26"/>
            <w:u w:val="single"/>
          </w:rPr>
          <w:t>https://infos.ademe.fr/lettre-strategie-juin-2021/la-sobriete-une-aspiration-croissante-pas-encore-un-projet-de-societe/</w:t>
        </w:r>
      </w:hyperlink>
    </w:p>
    <w:p w14:paraId="5918F5B4" w14:textId="77777777" w:rsidR="007C240B" w:rsidRDefault="007C240B">
      <w:pPr>
        <w:widowControl w:val="0"/>
        <w:spacing w:line="240" w:lineRule="auto"/>
        <w:rPr>
          <w:rFonts w:ascii="Georgia" w:eastAsia="Georgia" w:hAnsi="Georgia" w:cs="Georgia"/>
          <w:sz w:val="24"/>
          <w:szCs w:val="24"/>
        </w:rPr>
      </w:pPr>
    </w:p>
    <w:p w14:paraId="2D96D189" w14:textId="77777777" w:rsidR="007C240B" w:rsidRDefault="00000000">
      <w:pPr>
        <w:widowControl w:val="0"/>
        <w:spacing w:line="240" w:lineRule="auto"/>
        <w:rPr>
          <w:rFonts w:ascii="Georgia" w:eastAsia="Georgia" w:hAnsi="Georgia" w:cs="Georgia"/>
          <w:sz w:val="24"/>
          <w:szCs w:val="24"/>
        </w:rPr>
      </w:pPr>
      <w:r>
        <w:pict w14:anchorId="62A799F3">
          <v:rect id="_x0000_i1026" style="width:0;height:1.5pt" o:hralign="center" o:hrstd="t" o:hr="t" fillcolor="#a0a0a0" stroked="f"/>
        </w:pict>
      </w:r>
    </w:p>
    <w:p w14:paraId="0DF13D3B" w14:textId="77777777" w:rsidR="007C240B" w:rsidRDefault="007C240B">
      <w:pPr>
        <w:widowControl w:val="0"/>
        <w:spacing w:line="240" w:lineRule="auto"/>
        <w:rPr>
          <w:rFonts w:ascii="Georgia" w:eastAsia="Georgia" w:hAnsi="Georgia" w:cs="Georgia"/>
          <w:sz w:val="24"/>
          <w:szCs w:val="24"/>
        </w:rPr>
      </w:pPr>
    </w:p>
    <w:p w14:paraId="7AC6A658" w14:textId="77777777" w:rsidR="007C240B" w:rsidRDefault="00000000">
      <w:pPr>
        <w:pStyle w:val="Heading1"/>
        <w:rPr>
          <w:rFonts w:ascii="Georgia" w:eastAsia="Georgia" w:hAnsi="Georgia" w:cs="Georgia"/>
          <w:b/>
          <w:color w:val="666666"/>
        </w:rPr>
      </w:pPr>
      <w:bookmarkStart w:id="2" w:name="_pjblb7kj59fm" w:colFirst="0" w:colLast="0"/>
      <w:bookmarkEnd w:id="2"/>
      <w:r>
        <w:rPr>
          <w:rFonts w:ascii="Georgia" w:eastAsia="Georgia" w:hAnsi="Georgia" w:cs="Georgia"/>
          <w:b/>
          <w:color w:val="666666"/>
        </w:rPr>
        <w:t>2/ Définitions</w:t>
      </w:r>
    </w:p>
    <w:p w14:paraId="31E87ABA" w14:textId="77777777" w:rsidR="007C240B" w:rsidRDefault="007C240B">
      <w:pPr>
        <w:rPr>
          <w:rFonts w:ascii="Georgia" w:eastAsia="Georgia" w:hAnsi="Georgia" w:cs="Georgia"/>
        </w:rPr>
      </w:pPr>
    </w:p>
    <w:p w14:paraId="3EB8F5AE" w14:textId="77777777" w:rsidR="007C240B" w:rsidRDefault="00000000">
      <w:pPr>
        <w:rPr>
          <w:rFonts w:ascii="Georgia" w:eastAsia="Georgia" w:hAnsi="Georgia" w:cs="Georgia"/>
          <w:b/>
          <w:sz w:val="28"/>
          <w:szCs w:val="28"/>
        </w:rPr>
      </w:pPr>
      <w:r>
        <w:rPr>
          <w:rFonts w:ascii="Georgia" w:eastAsia="Georgia" w:hAnsi="Georgia" w:cs="Georgia"/>
          <w:b/>
          <w:sz w:val="28"/>
          <w:szCs w:val="28"/>
        </w:rPr>
        <w:t>2.1 Une démarche démocratique</w:t>
      </w:r>
    </w:p>
    <w:p w14:paraId="58B5F252" w14:textId="77777777" w:rsidR="007C240B" w:rsidRDefault="007C240B">
      <w:pPr>
        <w:rPr>
          <w:rFonts w:ascii="Georgia" w:eastAsia="Georgia" w:hAnsi="Georgia" w:cs="Georgia"/>
          <w:b/>
          <w:sz w:val="24"/>
          <w:szCs w:val="24"/>
        </w:rPr>
      </w:pPr>
    </w:p>
    <w:p w14:paraId="571E1306" w14:textId="77777777" w:rsidR="007C240B" w:rsidRDefault="00000000">
      <w:pPr>
        <w:spacing w:after="240" w:line="240" w:lineRule="auto"/>
        <w:jc w:val="both"/>
        <w:rPr>
          <w:rFonts w:ascii="Georgia" w:eastAsia="Georgia" w:hAnsi="Georgia" w:cs="Georgia"/>
          <w:sz w:val="24"/>
          <w:szCs w:val="24"/>
        </w:rPr>
      </w:pPr>
      <w:r>
        <w:rPr>
          <w:rFonts w:ascii="Georgia" w:eastAsia="Georgia" w:hAnsi="Georgia" w:cs="Georgia"/>
          <w:sz w:val="24"/>
          <w:szCs w:val="24"/>
        </w:rPr>
        <w:t xml:space="preserve"> Cela passe par la volonté d'identifier l'écosystème local des territoires, et par assurer une répartition équitable des ressources. </w:t>
      </w:r>
    </w:p>
    <w:p w14:paraId="37CCA1D9" w14:textId="77777777" w:rsidR="007C240B" w:rsidRDefault="00000000">
      <w:pPr>
        <w:spacing w:after="240" w:line="240" w:lineRule="auto"/>
        <w:jc w:val="both"/>
        <w:rPr>
          <w:rFonts w:ascii="Georgia" w:eastAsia="Georgia" w:hAnsi="Georgia" w:cs="Georgia"/>
          <w:i/>
          <w:sz w:val="24"/>
          <w:szCs w:val="24"/>
        </w:rPr>
      </w:pPr>
      <w:r>
        <w:rPr>
          <w:rFonts w:ascii="Georgia" w:eastAsia="Georgia" w:hAnsi="Georgia" w:cs="Georgia"/>
          <w:i/>
          <w:sz w:val="24"/>
          <w:szCs w:val="24"/>
        </w:rPr>
        <w:t>Démarche technique démocratique</w:t>
      </w:r>
      <w:r>
        <w:rPr>
          <w:rFonts w:ascii="Georgia" w:eastAsia="Georgia" w:hAnsi="Georgia" w:cs="Georgia"/>
          <w:sz w:val="24"/>
          <w:szCs w:val="24"/>
        </w:rPr>
        <w:t xml:space="preserve"> : </w:t>
      </w:r>
      <w:r>
        <w:rPr>
          <w:rFonts w:ascii="Georgia" w:eastAsia="Georgia" w:hAnsi="Georgia" w:cs="Georgia"/>
          <w:i/>
          <w:sz w:val="24"/>
          <w:szCs w:val="24"/>
        </w:rPr>
        <w:t>expertise scientifique et participation citoyenne.</w:t>
      </w:r>
    </w:p>
    <w:p w14:paraId="4069E569" w14:textId="77777777" w:rsidR="007C240B" w:rsidRDefault="00000000">
      <w:pPr>
        <w:spacing w:before="240" w:after="240" w:line="240" w:lineRule="auto"/>
        <w:jc w:val="both"/>
        <w:rPr>
          <w:rFonts w:ascii="Georgia" w:eastAsia="Georgia" w:hAnsi="Georgia" w:cs="Georgia"/>
          <w:sz w:val="24"/>
          <w:szCs w:val="24"/>
        </w:rPr>
      </w:pPr>
      <w:r>
        <w:rPr>
          <w:rFonts w:ascii="Georgia" w:eastAsia="Georgia" w:hAnsi="Georgia" w:cs="Georgia"/>
          <w:sz w:val="24"/>
          <w:szCs w:val="24"/>
        </w:rPr>
        <w:t xml:space="preserve">Parallèle possible entre Low-Tech et permaculture : </w:t>
      </w:r>
    </w:p>
    <w:p w14:paraId="3992D658" w14:textId="77777777" w:rsidR="007C240B" w:rsidRDefault="00000000">
      <w:pPr>
        <w:spacing w:before="240" w:after="240" w:line="240" w:lineRule="auto"/>
        <w:ind w:firstLine="720"/>
        <w:jc w:val="both"/>
        <w:rPr>
          <w:rFonts w:ascii="Georgia" w:eastAsia="Georgia" w:hAnsi="Georgia" w:cs="Georgia"/>
          <w:sz w:val="24"/>
          <w:szCs w:val="24"/>
        </w:rPr>
      </w:pPr>
      <w:r>
        <w:rPr>
          <w:rFonts w:ascii="Georgia" w:eastAsia="Georgia" w:hAnsi="Georgia" w:cs="Georgia"/>
          <w:sz w:val="24"/>
          <w:szCs w:val="24"/>
        </w:rPr>
        <w:t xml:space="preserve">1- Maximiser la valeur commune sans créer de déséquilibre. </w:t>
      </w:r>
    </w:p>
    <w:p w14:paraId="5135C8B5" w14:textId="77777777" w:rsidR="007C240B" w:rsidRDefault="00000000">
      <w:pPr>
        <w:spacing w:before="240" w:after="240" w:line="240" w:lineRule="auto"/>
        <w:ind w:left="720"/>
        <w:jc w:val="both"/>
        <w:rPr>
          <w:rFonts w:ascii="Georgia" w:eastAsia="Georgia" w:hAnsi="Georgia" w:cs="Georgia"/>
          <w:sz w:val="24"/>
          <w:szCs w:val="24"/>
        </w:rPr>
      </w:pPr>
      <w:r>
        <w:rPr>
          <w:rFonts w:ascii="Georgia" w:eastAsia="Georgia" w:hAnsi="Georgia" w:cs="Georgia"/>
          <w:sz w:val="24"/>
          <w:szCs w:val="24"/>
        </w:rPr>
        <w:lastRenderedPageBreak/>
        <w:t xml:space="preserve">2- le caractère low-tech d'un dispositif s'apprécie par rapport à son usage dans un environnement donné. </w:t>
      </w:r>
    </w:p>
    <w:p w14:paraId="1761A052" w14:textId="77777777" w:rsidR="007C240B" w:rsidRDefault="00000000">
      <w:pPr>
        <w:spacing w:before="240" w:after="240" w:line="240" w:lineRule="auto"/>
        <w:ind w:left="720"/>
        <w:jc w:val="both"/>
        <w:rPr>
          <w:rFonts w:ascii="Georgia" w:eastAsia="Georgia" w:hAnsi="Georgia" w:cs="Georgia"/>
          <w:sz w:val="24"/>
          <w:szCs w:val="24"/>
        </w:rPr>
      </w:pPr>
      <w:r>
        <w:rPr>
          <w:rFonts w:ascii="Georgia" w:eastAsia="Georgia" w:hAnsi="Georgia" w:cs="Georgia"/>
          <w:sz w:val="24"/>
          <w:szCs w:val="24"/>
        </w:rPr>
        <w:t>3- Le territoire, les habitants, ses usagers définissent le cadre approprié pour l'évaluation démocratique des activités.</w:t>
      </w:r>
    </w:p>
    <w:p w14:paraId="17503818" w14:textId="77777777" w:rsidR="007C240B" w:rsidRDefault="00000000">
      <w:pPr>
        <w:spacing w:before="240" w:after="240" w:line="240" w:lineRule="auto"/>
        <w:jc w:val="both"/>
        <w:rPr>
          <w:rFonts w:ascii="Georgia" w:eastAsia="Georgia" w:hAnsi="Georgia" w:cs="Georgia"/>
          <w:sz w:val="24"/>
          <w:szCs w:val="24"/>
        </w:rPr>
      </w:pPr>
      <w:r>
        <w:rPr>
          <w:rFonts w:ascii="Georgia" w:eastAsia="Georgia" w:hAnsi="Georgia" w:cs="Georgia"/>
          <w:sz w:val="24"/>
          <w:szCs w:val="24"/>
        </w:rPr>
        <w:t>L'esprit low-tech cherche à pour objectif de rendre la démarche technique démocratique. Plus d'externalités positives que les techniques conventionnelles.</w:t>
      </w:r>
    </w:p>
    <w:p w14:paraId="7B849D13" w14:textId="77777777" w:rsidR="007C240B" w:rsidRDefault="00000000">
      <w:pPr>
        <w:spacing w:before="240" w:after="240" w:line="240" w:lineRule="auto"/>
        <w:jc w:val="both"/>
        <w:rPr>
          <w:rFonts w:ascii="Georgia" w:eastAsia="Georgia" w:hAnsi="Georgia" w:cs="Georgia"/>
          <w:sz w:val="24"/>
          <w:szCs w:val="24"/>
        </w:rPr>
      </w:pPr>
      <w:r>
        <w:rPr>
          <w:rFonts w:ascii="Georgia" w:eastAsia="Georgia" w:hAnsi="Georgia" w:cs="Georgia"/>
          <w:sz w:val="24"/>
          <w:szCs w:val="24"/>
        </w:rPr>
        <w:t xml:space="preserve">La définition de la low-tech elle-même se veut très souple, elle n’est pas absolue ni arrêtée </w:t>
      </w:r>
      <w:proofErr w:type="gramStart"/>
      <w:r>
        <w:rPr>
          <w:rFonts w:ascii="Georgia" w:eastAsia="Georgia" w:hAnsi="Georgia" w:cs="Georgia"/>
          <w:sz w:val="24"/>
          <w:szCs w:val="24"/>
        </w:rPr>
        <w:t>( cette</w:t>
      </w:r>
      <w:proofErr w:type="gramEnd"/>
      <w:r>
        <w:rPr>
          <w:rFonts w:ascii="Georgia" w:eastAsia="Georgia" w:hAnsi="Georgia" w:cs="Georgia"/>
          <w:sz w:val="24"/>
          <w:szCs w:val="24"/>
        </w:rPr>
        <w:t xml:space="preserve"> finitude pourrait permettre à certains de déformer l’usage des low-tech vers du low-tech-</w:t>
      </w:r>
      <w:proofErr w:type="spellStart"/>
      <w:r>
        <w:rPr>
          <w:rFonts w:ascii="Georgia" w:eastAsia="Georgia" w:hAnsi="Georgia" w:cs="Georgia"/>
          <w:sz w:val="24"/>
          <w:szCs w:val="24"/>
        </w:rPr>
        <w:t>washing</w:t>
      </w:r>
      <w:proofErr w:type="spellEnd"/>
      <w:r>
        <w:rPr>
          <w:rFonts w:ascii="Georgia" w:eastAsia="Georgia" w:hAnsi="Georgia" w:cs="Georgia"/>
          <w:sz w:val="24"/>
          <w:szCs w:val="24"/>
        </w:rPr>
        <w:t xml:space="preserve">). </w:t>
      </w:r>
      <w:proofErr w:type="gramStart"/>
      <w:r>
        <w:rPr>
          <w:rFonts w:ascii="Georgia" w:eastAsia="Georgia" w:hAnsi="Georgia" w:cs="Georgia"/>
          <w:sz w:val="24"/>
          <w:szCs w:val="24"/>
        </w:rPr>
        <w:t>c’est</w:t>
      </w:r>
      <w:proofErr w:type="gramEnd"/>
      <w:r>
        <w:rPr>
          <w:rFonts w:ascii="Georgia" w:eastAsia="Georgia" w:hAnsi="Georgia" w:cs="Georgia"/>
          <w:sz w:val="24"/>
          <w:szCs w:val="24"/>
        </w:rPr>
        <w:t xml:space="preserve"> plus à un précepte systémique, à une méthode de penser que s’apparente la démarche low-tech.</w:t>
      </w:r>
    </w:p>
    <w:p w14:paraId="298AD020" w14:textId="77777777" w:rsidR="007C240B" w:rsidRDefault="007C240B">
      <w:pPr>
        <w:rPr>
          <w:rFonts w:ascii="Georgia" w:eastAsia="Georgia" w:hAnsi="Georgia" w:cs="Georgia"/>
          <w:b/>
          <w:sz w:val="24"/>
          <w:szCs w:val="24"/>
        </w:rPr>
      </w:pPr>
    </w:p>
    <w:p w14:paraId="4D5F1698" w14:textId="77777777" w:rsidR="007C240B" w:rsidRDefault="007C240B">
      <w:pPr>
        <w:rPr>
          <w:rFonts w:ascii="Georgia" w:eastAsia="Georgia" w:hAnsi="Georgia" w:cs="Georgia"/>
          <w:b/>
          <w:sz w:val="24"/>
          <w:szCs w:val="24"/>
        </w:rPr>
      </w:pPr>
    </w:p>
    <w:p w14:paraId="53F29D2F" w14:textId="0644DC99" w:rsidR="007C240B" w:rsidRDefault="007C240B">
      <w:pPr>
        <w:rPr>
          <w:rFonts w:ascii="Georgia" w:eastAsia="Georgia" w:hAnsi="Georgia" w:cs="Georgia"/>
          <w:b/>
          <w:sz w:val="24"/>
          <w:szCs w:val="24"/>
        </w:rPr>
      </w:pPr>
    </w:p>
    <w:p w14:paraId="1ACF80FF" w14:textId="77777777" w:rsidR="009C78E7" w:rsidRDefault="009C78E7">
      <w:pPr>
        <w:rPr>
          <w:rFonts w:ascii="Georgia" w:eastAsia="Georgia" w:hAnsi="Georgia" w:cs="Georgia"/>
          <w:b/>
          <w:sz w:val="24"/>
          <w:szCs w:val="24"/>
        </w:rPr>
      </w:pPr>
    </w:p>
    <w:p w14:paraId="1D84F75B" w14:textId="77777777" w:rsidR="007C240B" w:rsidRDefault="007C240B">
      <w:pPr>
        <w:rPr>
          <w:rFonts w:ascii="Georgia" w:eastAsia="Georgia" w:hAnsi="Georgia" w:cs="Georgia"/>
          <w:b/>
          <w:sz w:val="24"/>
          <w:szCs w:val="24"/>
        </w:rPr>
      </w:pPr>
    </w:p>
    <w:p w14:paraId="11122B63" w14:textId="77777777" w:rsidR="007C240B" w:rsidRDefault="00000000">
      <w:pPr>
        <w:rPr>
          <w:rFonts w:ascii="Georgia" w:eastAsia="Georgia" w:hAnsi="Georgia" w:cs="Georgia"/>
          <w:b/>
          <w:sz w:val="28"/>
          <w:szCs w:val="28"/>
        </w:rPr>
      </w:pPr>
      <w:r>
        <w:rPr>
          <w:rFonts w:ascii="Georgia" w:eastAsia="Georgia" w:hAnsi="Georgia" w:cs="Georgia"/>
          <w:b/>
          <w:sz w:val="28"/>
          <w:szCs w:val="28"/>
        </w:rPr>
        <w:t>2.2 Croisement des définitions des systèmes low-tech</w:t>
      </w:r>
    </w:p>
    <w:p w14:paraId="011739D4" w14:textId="77777777" w:rsidR="007C240B" w:rsidRDefault="007C240B">
      <w:pPr>
        <w:rPr>
          <w:rFonts w:ascii="Georgia" w:eastAsia="Georgia" w:hAnsi="Georgia" w:cs="Georgia"/>
          <w:b/>
          <w:sz w:val="24"/>
          <w:szCs w:val="24"/>
        </w:rPr>
      </w:pPr>
    </w:p>
    <w:p w14:paraId="73122AB7" w14:textId="77777777" w:rsidR="007C240B" w:rsidRPr="000A37CF" w:rsidRDefault="00000000">
      <w:pPr>
        <w:rPr>
          <w:rFonts w:ascii="Georgia" w:eastAsia="Georgia" w:hAnsi="Georgia" w:cs="Georgia"/>
          <w:b/>
          <w:sz w:val="24"/>
          <w:szCs w:val="24"/>
          <w:u w:val="single"/>
          <w:lang w:val="en-GB"/>
        </w:rPr>
      </w:pPr>
      <w:proofErr w:type="gramStart"/>
      <w:r w:rsidRPr="000A37CF">
        <w:rPr>
          <w:rFonts w:ascii="Georgia" w:eastAsia="Georgia" w:hAnsi="Georgia" w:cs="Georgia"/>
          <w:b/>
          <w:sz w:val="24"/>
          <w:szCs w:val="24"/>
          <w:u w:val="single"/>
          <w:lang w:val="en-GB"/>
        </w:rPr>
        <w:t>2.2.a  Low</w:t>
      </w:r>
      <w:proofErr w:type="gramEnd"/>
      <w:r w:rsidRPr="000A37CF">
        <w:rPr>
          <w:rFonts w:ascii="Georgia" w:eastAsia="Georgia" w:hAnsi="Georgia" w:cs="Georgia"/>
          <w:b/>
          <w:sz w:val="24"/>
          <w:szCs w:val="24"/>
          <w:u w:val="single"/>
          <w:lang w:val="en-GB"/>
        </w:rPr>
        <w:t xml:space="preserve">-tech lab </w:t>
      </w:r>
    </w:p>
    <w:p w14:paraId="1AFDB13C" w14:textId="77777777" w:rsidR="007C240B" w:rsidRPr="000A37CF" w:rsidRDefault="007C240B">
      <w:pPr>
        <w:rPr>
          <w:rFonts w:ascii="Georgia" w:eastAsia="Georgia" w:hAnsi="Georgia" w:cs="Georgia"/>
          <w:sz w:val="24"/>
          <w:szCs w:val="24"/>
          <w:lang w:val="en-GB"/>
        </w:rPr>
      </w:pPr>
    </w:p>
    <w:p w14:paraId="11850877" w14:textId="77777777" w:rsidR="007C240B" w:rsidRPr="000A37CF" w:rsidRDefault="00000000">
      <w:pPr>
        <w:rPr>
          <w:rFonts w:ascii="Georgia" w:eastAsia="Georgia" w:hAnsi="Georgia" w:cs="Georgia"/>
          <w:sz w:val="24"/>
          <w:szCs w:val="24"/>
          <w:lang w:val="en-GB"/>
        </w:rPr>
      </w:pPr>
      <w:proofErr w:type="gramStart"/>
      <w:r w:rsidRPr="000A37CF">
        <w:rPr>
          <w:rFonts w:ascii="Georgia" w:eastAsia="Georgia" w:hAnsi="Georgia" w:cs="Georgia"/>
          <w:sz w:val="24"/>
          <w:szCs w:val="24"/>
          <w:lang w:val="en-GB"/>
        </w:rPr>
        <w:t>source :</w:t>
      </w:r>
      <w:proofErr w:type="gramEnd"/>
      <w:r w:rsidRPr="000A37CF">
        <w:rPr>
          <w:rFonts w:ascii="Georgia" w:eastAsia="Georgia" w:hAnsi="Georgia" w:cs="Georgia"/>
          <w:sz w:val="24"/>
          <w:szCs w:val="24"/>
          <w:lang w:val="en-GB"/>
        </w:rPr>
        <w:t xml:space="preserve"> </w:t>
      </w:r>
      <w:hyperlink r:id="rId8">
        <w:r w:rsidRPr="000A37CF">
          <w:rPr>
            <w:rFonts w:ascii="Georgia" w:eastAsia="Georgia" w:hAnsi="Georgia" w:cs="Georgia"/>
            <w:color w:val="1155CC"/>
            <w:sz w:val="24"/>
            <w:szCs w:val="24"/>
            <w:u w:val="single"/>
            <w:lang w:val="en-GB"/>
          </w:rPr>
          <w:t>https://lowtechlab.org/fr/la-low-tech</w:t>
        </w:r>
      </w:hyperlink>
    </w:p>
    <w:p w14:paraId="37A28384" w14:textId="77777777" w:rsidR="007C240B" w:rsidRPr="000A37CF" w:rsidRDefault="007C240B">
      <w:pPr>
        <w:rPr>
          <w:rFonts w:ascii="Georgia" w:eastAsia="Georgia" w:hAnsi="Georgia" w:cs="Georgia"/>
          <w:sz w:val="24"/>
          <w:szCs w:val="24"/>
          <w:lang w:val="en-GB"/>
        </w:rPr>
      </w:pPr>
    </w:p>
    <w:p w14:paraId="709C20F6" w14:textId="77777777" w:rsidR="007C240B" w:rsidRPr="000A37CF" w:rsidRDefault="007C240B">
      <w:pPr>
        <w:rPr>
          <w:rFonts w:ascii="Georgia" w:eastAsia="Georgia" w:hAnsi="Georgia" w:cs="Georgia"/>
          <w:sz w:val="24"/>
          <w:szCs w:val="24"/>
          <w:lang w:val="en-GB"/>
        </w:rPr>
      </w:pPr>
    </w:p>
    <w:p w14:paraId="30A97E8B" w14:textId="77777777" w:rsidR="007C240B" w:rsidRDefault="00000000">
      <w:pPr>
        <w:rPr>
          <w:rFonts w:ascii="Georgia" w:eastAsia="Georgia" w:hAnsi="Georgia" w:cs="Georgia"/>
          <w:sz w:val="24"/>
          <w:szCs w:val="24"/>
        </w:rPr>
      </w:pPr>
      <w:r>
        <w:rPr>
          <w:rFonts w:ascii="Georgia" w:eastAsia="Georgia" w:hAnsi="Georgia" w:cs="Georgia"/>
          <w:sz w:val="24"/>
          <w:szCs w:val="24"/>
        </w:rPr>
        <w:t xml:space="preserve">Selon le </w:t>
      </w:r>
      <w:r>
        <w:rPr>
          <w:rFonts w:ascii="Georgia" w:eastAsia="Georgia" w:hAnsi="Georgia" w:cs="Georgia"/>
          <w:i/>
          <w:sz w:val="24"/>
          <w:szCs w:val="24"/>
          <w:u w:val="single"/>
        </w:rPr>
        <w:t xml:space="preserve">low-tech </w:t>
      </w:r>
      <w:proofErr w:type="spellStart"/>
      <w:r>
        <w:rPr>
          <w:rFonts w:ascii="Georgia" w:eastAsia="Georgia" w:hAnsi="Georgia" w:cs="Georgia"/>
          <w:i/>
          <w:sz w:val="24"/>
          <w:szCs w:val="24"/>
          <w:u w:val="single"/>
        </w:rPr>
        <w:t>lab</w:t>
      </w:r>
      <w:proofErr w:type="spellEnd"/>
      <w:r>
        <w:rPr>
          <w:rFonts w:ascii="Georgia" w:eastAsia="Georgia" w:hAnsi="Georgia" w:cs="Georgia"/>
          <w:i/>
          <w:sz w:val="24"/>
          <w:szCs w:val="24"/>
          <w:u w:val="single"/>
        </w:rPr>
        <w:t>*</w:t>
      </w:r>
      <w:r>
        <w:rPr>
          <w:rFonts w:ascii="Georgia" w:eastAsia="Georgia" w:hAnsi="Georgia" w:cs="Georgia"/>
          <w:sz w:val="24"/>
          <w:szCs w:val="24"/>
        </w:rPr>
        <w:t xml:space="preserve">, lors de la conception d’une solution technique, celle-ci est low-tech si elle suit les 3 grands piliers </w:t>
      </w:r>
      <w:proofErr w:type="gramStart"/>
      <w:r>
        <w:rPr>
          <w:rFonts w:ascii="Georgia" w:eastAsia="Georgia" w:hAnsi="Georgia" w:cs="Georgia"/>
          <w:sz w:val="24"/>
          <w:szCs w:val="24"/>
        </w:rPr>
        <w:t>suivant:</w:t>
      </w:r>
      <w:proofErr w:type="gramEnd"/>
    </w:p>
    <w:p w14:paraId="71687A07" w14:textId="77777777" w:rsidR="007C240B" w:rsidRDefault="007C240B">
      <w:pPr>
        <w:rPr>
          <w:rFonts w:ascii="Georgia" w:eastAsia="Georgia" w:hAnsi="Georgia" w:cs="Georgia"/>
          <w:sz w:val="24"/>
          <w:szCs w:val="24"/>
        </w:rPr>
      </w:pPr>
    </w:p>
    <w:p w14:paraId="501E4F16" w14:textId="77777777" w:rsidR="007C240B" w:rsidRDefault="00000000">
      <w:pPr>
        <w:jc w:val="both"/>
        <w:rPr>
          <w:rFonts w:ascii="Georgia" w:eastAsia="Georgia" w:hAnsi="Georgia" w:cs="Georgia"/>
          <w:b/>
          <w:sz w:val="24"/>
          <w:szCs w:val="24"/>
        </w:rPr>
      </w:pPr>
      <w:r>
        <w:rPr>
          <w:rFonts w:ascii="Georgia" w:eastAsia="Georgia" w:hAnsi="Georgia" w:cs="Georgia"/>
          <w:sz w:val="24"/>
          <w:szCs w:val="24"/>
        </w:rPr>
        <w:t xml:space="preserve"> </w:t>
      </w:r>
      <w:r>
        <w:rPr>
          <w:rFonts w:ascii="Georgia" w:eastAsia="Georgia" w:hAnsi="Georgia" w:cs="Georgia"/>
          <w:b/>
          <w:sz w:val="24"/>
          <w:szCs w:val="24"/>
        </w:rPr>
        <w:t>Utile</w:t>
      </w:r>
    </w:p>
    <w:p w14:paraId="35CCD23D" w14:textId="77777777" w:rsidR="007C240B" w:rsidRDefault="00000000">
      <w:pPr>
        <w:spacing w:before="240" w:after="240"/>
        <w:jc w:val="both"/>
        <w:rPr>
          <w:rFonts w:ascii="Georgia" w:eastAsia="Georgia" w:hAnsi="Georgia" w:cs="Georgia"/>
          <w:sz w:val="24"/>
          <w:szCs w:val="24"/>
        </w:rPr>
      </w:pPr>
      <w:r>
        <w:rPr>
          <w:rFonts w:ascii="Georgia" w:eastAsia="Georgia" w:hAnsi="Georgia" w:cs="Georgia"/>
          <w:sz w:val="24"/>
          <w:szCs w:val="24"/>
        </w:rPr>
        <w:t>Une low-tech répond à des besoins essentiels à l’individu ou au collectif. Elle contribue à rendre possible des modes de vie, de production et de consommation sains et pertinents pour tous dans des domaines aussi variés que l’énergie, l’alimentation, l’eau, la gestion des déchets, les matériaux, l’habitat, les transports, l’hygiène ou encore la santé. En incitant à revenir à l’essentiel, elle redonne du sens à l’action.</w:t>
      </w:r>
    </w:p>
    <w:p w14:paraId="0DAA406F" w14:textId="77777777" w:rsidR="007C240B" w:rsidRDefault="007C240B">
      <w:pPr>
        <w:spacing w:before="240" w:after="240"/>
        <w:jc w:val="both"/>
        <w:rPr>
          <w:rFonts w:ascii="Georgia" w:eastAsia="Georgia" w:hAnsi="Georgia" w:cs="Georgia"/>
          <w:sz w:val="24"/>
          <w:szCs w:val="24"/>
        </w:rPr>
      </w:pPr>
    </w:p>
    <w:p w14:paraId="5776A6BC" w14:textId="77777777" w:rsidR="007C240B" w:rsidRDefault="00000000">
      <w:pPr>
        <w:spacing w:before="240" w:after="240"/>
        <w:jc w:val="both"/>
        <w:rPr>
          <w:rFonts w:ascii="Georgia" w:eastAsia="Georgia" w:hAnsi="Georgia" w:cs="Georgia"/>
          <w:b/>
          <w:color w:val="000000"/>
          <w:sz w:val="24"/>
          <w:szCs w:val="24"/>
        </w:rPr>
      </w:pPr>
      <w:r>
        <w:rPr>
          <w:rFonts w:ascii="Georgia" w:eastAsia="Georgia" w:hAnsi="Georgia" w:cs="Georgia"/>
          <w:b/>
          <w:color w:val="000000"/>
          <w:sz w:val="24"/>
          <w:szCs w:val="24"/>
        </w:rPr>
        <w:t>Accessible</w:t>
      </w:r>
    </w:p>
    <w:p w14:paraId="7DE74DEA" w14:textId="77777777" w:rsidR="007C240B" w:rsidRDefault="00000000">
      <w:pPr>
        <w:spacing w:before="240" w:after="240"/>
        <w:jc w:val="both"/>
        <w:rPr>
          <w:rFonts w:ascii="Georgia" w:eastAsia="Georgia" w:hAnsi="Georgia" w:cs="Georgia"/>
          <w:sz w:val="24"/>
          <w:szCs w:val="24"/>
        </w:rPr>
      </w:pPr>
      <w:r>
        <w:rPr>
          <w:rFonts w:ascii="Georgia" w:eastAsia="Georgia" w:hAnsi="Georgia" w:cs="Georgia"/>
          <w:sz w:val="24"/>
          <w:szCs w:val="24"/>
        </w:rPr>
        <w:t>La low-tech doit être appropriée par le plus grand nombre. Elle doit donc pouvoir être fabriquée et/ou réparée localement, ses principes de fonctionnement doivent pouvoir être appréhendés simplement et son coût adapté à une large part de la population. Elle favorise ainsi une plus grande autonomie des populations à tous les niveaux, ainsi qu’une meilleure répartition de la valeur ou du travail.</w:t>
      </w:r>
    </w:p>
    <w:p w14:paraId="2DA4FF1F" w14:textId="77777777" w:rsidR="007C240B" w:rsidRDefault="00000000">
      <w:pPr>
        <w:spacing w:before="280"/>
        <w:jc w:val="both"/>
        <w:rPr>
          <w:rFonts w:ascii="Georgia" w:eastAsia="Georgia" w:hAnsi="Georgia" w:cs="Georgia"/>
          <w:b/>
        </w:rPr>
      </w:pPr>
      <w:r>
        <w:rPr>
          <w:rFonts w:ascii="Georgia" w:eastAsia="Georgia" w:hAnsi="Georgia" w:cs="Georgia"/>
          <w:b/>
        </w:rPr>
        <w:lastRenderedPageBreak/>
        <w:t>Durable</w:t>
      </w:r>
    </w:p>
    <w:p w14:paraId="2DDC1E81" w14:textId="77777777" w:rsidR="007C240B" w:rsidRDefault="00000000">
      <w:pPr>
        <w:spacing w:before="240" w:after="240"/>
        <w:jc w:val="both"/>
        <w:rPr>
          <w:rFonts w:ascii="Georgia" w:eastAsia="Georgia" w:hAnsi="Georgia" w:cs="Georgia"/>
          <w:sz w:val="24"/>
          <w:szCs w:val="24"/>
        </w:rPr>
      </w:pPr>
      <w:r>
        <w:rPr>
          <w:rFonts w:ascii="Georgia" w:eastAsia="Georgia" w:hAnsi="Georgia" w:cs="Georgia"/>
          <w:sz w:val="24"/>
          <w:szCs w:val="24"/>
        </w:rPr>
        <w:t>Éco-conçue, résiliente, robuste, réparable, recyclable, agile, fonctionnelle : la low-tech invite à réfléchir et optimiser les impacts tant écologiques que sociaux ou sociétaux liés au recours à la technique et ce, à toutes les étapes de son cycle de vie (de la conception, production, usage, fin de vie), même si cela implique parfois, de recourir à moins de technique, et plus de partage ou de collaboration !</w:t>
      </w:r>
    </w:p>
    <w:p w14:paraId="708B1752" w14:textId="77777777" w:rsidR="007C240B" w:rsidRDefault="007C240B">
      <w:pPr>
        <w:rPr>
          <w:rFonts w:ascii="Georgia" w:eastAsia="Georgia" w:hAnsi="Georgia" w:cs="Georgia"/>
          <w:sz w:val="24"/>
          <w:szCs w:val="24"/>
        </w:rPr>
      </w:pPr>
    </w:p>
    <w:p w14:paraId="230AAA8A" w14:textId="77777777" w:rsidR="007C240B" w:rsidRDefault="00000000">
      <w:pPr>
        <w:rPr>
          <w:rFonts w:ascii="Georgia" w:eastAsia="Georgia" w:hAnsi="Georgia" w:cs="Georgia"/>
          <w:sz w:val="24"/>
          <w:szCs w:val="24"/>
        </w:rPr>
      </w:pPr>
      <w:r>
        <w:rPr>
          <w:rFonts w:ascii="Georgia" w:eastAsia="Georgia" w:hAnsi="Georgia" w:cs="Georgia"/>
          <w:noProof/>
          <w:sz w:val="24"/>
          <w:szCs w:val="24"/>
        </w:rPr>
        <w:drawing>
          <wp:inline distT="114300" distB="114300" distL="114300" distR="114300" wp14:anchorId="52C9F224" wp14:editId="285B3A61">
            <wp:extent cx="5731200" cy="1498600"/>
            <wp:effectExtent l="0" t="0" r="0" b="0"/>
            <wp:docPr id="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5731200" cy="1498600"/>
                    </a:xfrm>
                    <a:prstGeom prst="rect">
                      <a:avLst/>
                    </a:prstGeom>
                    <a:ln/>
                  </pic:spPr>
                </pic:pic>
              </a:graphicData>
            </a:graphic>
          </wp:inline>
        </w:drawing>
      </w:r>
    </w:p>
    <w:p w14:paraId="6B3D2C73" w14:textId="77777777" w:rsidR="007C240B" w:rsidRDefault="007C240B">
      <w:pPr>
        <w:rPr>
          <w:rFonts w:ascii="Georgia" w:eastAsia="Georgia" w:hAnsi="Georgia" w:cs="Georgia"/>
          <w:sz w:val="24"/>
          <w:szCs w:val="24"/>
        </w:rPr>
      </w:pPr>
    </w:p>
    <w:p w14:paraId="24DF1A16" w14:textId="77777777" w:rsidR="007C240B" w:rsidRDefault="007C240B">
      <w:pPr>
        <w:rPr>
          <w:rFonts w:ascii="Georgia" w:eastAsia="Georgia" w:hAnsi="Georgia" w:cs="Georgia"/>
          <w:sz w:val="24"/>
          <w:szCs w:val="24"/>
        </w:rPr>
      </w:pPr>
    </w:p>
    <w:p w14:paraId="1DF87D75" w14:textId="77777777" w:rsidR="007C240B" w:rsidRDefault="007C240B">
      <w:pPr>
        <w:rPr>
          <w:rFonts w:ascii="Georgia" w:eastAsia="Georgia" w:hAnsi="Georgia" w:cs="Georgia"/>
          <w:sz w:val="24"/>
          <w:szCs w:val="24"/>
        </w:rPr>
      </w:pPr>
    </w:p>
    <w:p w14:paraId="60F1C592" w14:textId="77777777" w:rsidR="007C240B" w:rsidRDefault="007C240B">
      <w:pPr>
        <w:rPr>
          <w:rFonts w:ascii="Georgia" w:eastAsia="Georgia" w:hAnsi="Georgia" w:cs="Georgia"/>
          <w:sz w:val="24"/>
          <w:szCs w:val="24"/>
        </w:rPr>
      </w:pPr>
    </w:p>
    <w:p w14:paraId="36356A99" w14:textId="77777777" w:rsidR="007C240B" w:rsidRDefault="00000000">
      <w:pPr>
        <w:rPr>
          <w:rFonts w:ascii="Georgia" w:eastAsia="Georgia" w:hAnsi="Georgia" w:cs="Georgia"/>
          <w:b/>
          <w:sz w:val="24"/>
          <w:szCs w:val="24"/>
          <w:u w:val="single"/>
        </w:rPr>
      </w:pPr>
      <w:r>
        <w:rPr>
          <w:rFonts w:ascii="Georgia" w:eastAsia="Georgia" w:hAnsi="Georgia" w:cs="Georgia"/>
          <w:b/>
          <w:sz w:val="24"/>
          <w:szCs w:val="24"/>
          <w:u w:val="single"/>
        </w:rPr>
        <w:t xml:space="preserve">2.2.b Définition d'Arthur Keller et Émilien </w:t>
      </w:r>
      <w:proofErr w:type="spellStart"/>
      <w:r>
        <w:rPr>
          <w:rFonts w:ascii="Georgia" w:eastAsia="Georgia" w:hAnsi="Georgia" w:cs="Georgia"/>
          <w:b/>
          <w:sz w:val="24"/>
          <w:szCs w:val="24"/>
          <w:u w:val="single"/>
        </w:rPr>
        <w:t>Bournigal</w:t>
      </w:r>
      <w:proofErr w:type="spellEnd"/>
      <w:r>
        <w:rPr>
          <w:rFonts w:ascii="Georgia" w:eastAsia="Georgia" w:hAnsi="Georgia" w:cs="Georgia"/>
          <w:b/>
          <w:sz w:val="24"/>
          <w:szCs w:val="24"/>
          <w:u w:val="single"/>
        </w:rPr>
        <w:t xml:space="preserve"> :</w:t>
      </w:r>
    </w:p>
    <w:p w14:paraId="3A475363" w14:textId="77777777" w:rsidR="007C240B" w:rsidRDefault="007C240B">
      <w:pPr>
        <w:rPr>
          <w:rFonts w:ascii="Georgia" w:eastAsia="Georgia" w:hAnsi="Georgia" w:cs="Georgia"/>
          <w:sz w:val="24"/>
          <w:szCs w:val="24"/>
        </w:rPr>
      </w:pPr>
    </w:p>
    <w:p w14:paraId="5D56D4B4" w14:textId="77777777" w:rsidR="007C240B" w:rsidRDefault="00000000">
      <w:pPr>
        <w:rPr>
          <w:rFonts w:ascii="Georgia" w:eastAsia="Georgia" w:hAnsi="Georgia" w:cs="Georgia"/>
          <w:sz w:val="24"/>
          <w:szCs w:val="24"/>
        </w:rPr>
      </w:pPr>
      <w:proofErr w:type="gramStart"/>
      <w:r>
        <w:rPr>
          <w:rFonts w:ascii="Georgia" w:eastAsia="Georgia" w:hAnsi="Georgia" w:cs="Georgia"/>
          <w:sz w:val="24"/>
          <w:szCs w:val="24"/>
        </w:rPr>
        <w:t>source:</w:t>
      </w:r>
      <w:proofErr w:type="gramEnd"/>
      <w:r>
        <w:fldChar w:fldCharType="begin"/>
      </w:r>
      <w:r>
        <w:instrText>HYPERLINK "https://lowtechnation.com/low-tech/" \h</w:instrText>
      </w:r>
      <w:r>
        <w:fldChar w:fldCharType="separate"/>
      </w:r>
      <w:r>
        <w:rPr>
          <w:rFonts w:ascii="Georgia" w:eastAsia="Georgia" w:hAnsi="Georgia" w:cs="Georgia"/>
          <w:color w:val="1155CC"/>
          <w:sz w:val="24"/>
          <w:szCs w:val="24"/>
          <w:u w:val="single"/>
        </w:rPr>
        <w:t xml:space="preserve"> https://lowtechnation.com/low-tech/</w:t>
      </w:r>
      <w:r>
        <w:rPr>
          <w:rFonts w:ascii="Georgia" w:eastAsia="Georgia" w:hAnsi="Georgia" w:cs="Georgia"/>
          <w:color w:val="1155CC"/>
          <w:sz w:val="24"/>
          <w:szCs w:val="24"/>
          <w:u w:val="single"/>
        </w:rPr>
        <w:fldChar w:fldCharType="end"/>
      </w:r>
    </w:p>
    <w:p w14:paraId="672AF220" w14:textId="77777777" w:rsidR="007C240B" w:rsidRDefault="007C240B">
      <w:pPr>
        <w:rPr>
          <w:rFonts w:ascii="Georgia" w:eastAsia="Georgia" w:hAnsi="Georgia" w:cs="Georgia"/>
          <w:sz w:val="24"/>
          <w:szCs w:val="24"/>
        </w:rPr>
      </w:pPr>
    </w:p>
    <w:p w14:paraId="7597B5AD" w14:textId="77777777" w:rsidR="007C240B" w:rsidRDefault="00000000">
      <w:pPr>
        <w:jc w:val="both"/>
        <w:rPr>
          <w:rFonts w:ascii="Georgia" w:eastAsia="Georgia" w:hAnsi="Georgia" w:cs="Georgia"/>
          <w:sz w:val="24"/>
          <w:szCs w:val="24"/>
        </w:rPr>
      </w:pPr>
      <w:r>
        <w:rPr>
          <w:rFonts w:ascii="Georgia" w:eastAsia="Georgia" w:hAnsi="Georgia" w:cs="Georgia"/>
          <w:sz w:val="24"/>
          <w:szCs w:val="24"/>
        </w:rPr>
        <w:t xml:space="preserve">Arthur Keller </w:t>
      </w:r>
      <w:r>
        <w:rPr>
          <w:rFonts w:ascii="Georgia" w:eastAsia="Georgia" w:hAnsi="Georgia" w:cs="Georgia"/>
          <w:i/>
          <w:sz w:val="24"/>
          <w:szCs w:val="24"/>
        </w:rPr>
        <w:t>(ingénieur, conférencier, formateur et consultant français, spécialiste des risques systémiques et des stratégies d’anticipation et d’organisation collectives face à ces risques)</w:t>
      </w:r>
      <w:r>
        <w:rPr>
          <w:rFonts w:ascii="Georgia" w:eastAsia="Georgia" w:hAnsi="Georgia" w:cs="Georgia"/>
          <w:sz w:val="24"/>
          <w:szCs w:val="24"/>
        </w:rPr>
        <w:t xml:space="preserve"> est un penseur de la démarche low-tech, il définit les low-tech comme :</w:t>
      </w:r>
    </w:p>
    <w:p w14:paraId="582197F2" w14:textId="77777777" w:rsidR="007C240B" w:rsidRDefault="007C240B">
      <w:pPr>
        <w:jc w:val="both"/>
        <w:rPr>
          <w:rFonts w:ascii="Georgia" w:eastAsia="Georgia" w:hAnsi="Georgia" w:cs="Georgia"/>
          <w:sz w:val="24"/>
          <w:szCs w:val="24"/>
        </w:rPr>
      </w:pPr>
    </w:p>
    <w:p w14:paraId="1BCF008C" w14:textId="77777777" w:rsidR="007C240B" w:rsidRDefault="00000000">
      <w:pPr>
        <w:ind w:left="720" w:firstLine="720"/>
        <w:jc w:val="both"/>
        <w:rPr>
          <w:rFonts w:ascii="Georgia" w:eastAsia="Georgia" w:hAnsi="Georgia" w:cs="Georgia"/>
          <w:i/>
          <w:sz w:val="24"/>
          <w:szCs w:val="24"/>
        </w:rPr>
      </w:pPr>
      <w:r>
        <w:rPr>
          <w:rFonts w:ascii="Georgia" w:eastAsia="Georgia" w:hAnsi="Georgia" w:cs="Georgia"/>
          <w:i/>
          <w:sz w:val="24"/>
          <w:szCs w:val="24"/>
        </w:rPr>
        <w:t xml:space="preserve">« </w:t>
      </w:r>
      <w:proofErr w:type="gramStart"/>
      <w:r>
        <w:rPr>
          <w:rFonts w:ascii="Georgia" w:eastAsia="Georgia" w:hAnsi="Georgia" w:cs="Georgia"/>
          <w:i/>
          <w:sz w:val="24"/>
          <w:szCs w:val="24"/>
        </w:rPr>
        <w:t>une</w:t>
      </w:r>
      <w:proofErr w:type="gramEnd"/>
      <w:r>
        <w:rPr>
          <w:rFonts w:ascii="Georgia" w:eastAsia="Georgia" w:hAnsi="Georgia" w:cs="Georgia"/>
          <w:i/>
          <w:sz w:val="24"/>
          <w:szCs w:val="24"/>
        </w:rPr>
        <w:t xml:space="preserve"> catégorie de produits, de services, de procédés […] ou autres systèmes permettant, via une transformation technique, organisationnelle et culturelle, le développement de nouveaux modèles de société intégrant, dans leurs principes fondamentaux, les exigences de durabilité forte et la résilience collective. »</w:t>
      </w:r>
    </w:p>
    <w:p w14:paraId="6F54C855" w14:textId="77777777" w:rsidR="007C240B" w:rsidRDefault="00000000">
      <w:pPr>
        <w:spacing w:before="240" w:after="240"/>
        <w:rPr>
          <w:rFonts w:ascii="Georgia" w:eastAsia="Georgia" w:hAnsi="Georgia" w:cs="Georgia"/>
          <w:sz w:val="24"/>
          <w:szCs w:val="24"/>
        </w:rPr>
      </w:pPr>
      <w:r>
        <w:rPr>
          <w:rFonts w:ascii="Georgia" w:eastAsia="Georgia" w:hAnsi="Georgia" w:cs="Georgia"/>
          <w:noProof/>
          <w:sz w:val="24"/>
          <w:szCs w:val="24"/>
          <w:u w:val="single"/>
        </w:rPr>
        <w:lastRenderedPageBreak/>
        <w:drawing>
          <wp:inline distT="114300" distB="114300" distL="114300" distR="114300" wp14:anchorId="4EDB52E9" wp14:editId="4F088CE9">
            <wp:extent cx="6152764" cy="5847587"/>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6152764" cy="5847587"/>
                    </a:xfrm>
                    <a:prstGeom prst="rect">
                      <a:avLst/>
                    </a:prstGeom>
                    <a:ln/>
                  </pic:spPr>
                </pic:pic>
              </a:graphicData>
            </a:graphic>
          </wp:inline>
        </w:drawing>
      </w:r>
    </w:p>
    <w:p w14:paraId="22965E0A" w14:textId="77777777" w:rsidR="007C240B" w:rsidRDefault="007C240B">
      <w:pPr>
        <w:jc w:val="center"/>
        <w:rPr>
          <w:rFonts w:ascii="Georgia" w:eastAsia="Georgia" w:hAnsi="Georgia" w:cs="Georgia"/>
          <w:b/>
          <w:sz w:val="24"/>
          <w:szCs w:val="24"/>
        </w:rPr>
      </w:pPr>
    </w:p>
    <w:p w14:paraId="7DA27487" w14:textId="77777777" w:rsidR="007C240B" w:rsidRDefault="00000000">
      <w:pPr>
        <w:rPr>
          <w:rFonts w:ascii="Georgia" w:eastAsia="Georgia" w:hAnsi="Georgia" w:cs="Georgia"/>
          <w:b/>
          <w:sz w:val="24"/>
          <w:szCs w:val="24"/>
          <w:u w:val="single"/>
        </w:rPr>
      </w:pPr>
      <w:r>
        <w:rPr>
          <w:rFonts w:ascii="Georgia" w:eastAsia="Georgia" w:hAnsi="Georgia" w:cs="Georgia"/>
          <w:b/>
          <w:sz w:val="24"/>
          <w:szCs w:val="24"/>
          <w:u w:val="single"/>
        </w:rPr>
        <w:t>2.2.c Définition de la Fabrique écologique</w:t>
      </w:r>
    </w:p>
    <w:p w14:paraId="5C5D6982" w14:textId="77777777" w:rsidR="007C240B" w:rsidRDefault="007C240B">
      <w:pPr>
        <w:rPr>
          <w:rFonts w:ascii="Georgia" w:eastAsia="Georgia" w:hAnsi="Georgia" w:cs="Georgia"/>
          <w:b/>
          <w:sz w:val="24"/>
          <w:szCs w:val="24"/>
        </w:rPr>
      </w:pPr>
    </w:p>
    <w:p w14:paraId="06A593D8" w14:textId="77777777" w:rsidR="007C240B" w:rsidRDefault="00000000">
      <w:pPr>
        <w:rPr>
          <w:rFonts w:ascii="Georgia" w:eastAsia="Georgia" w:hAnsi="Georgia" w:cs="Georgia"/>
          <w:sz w:val="24"/>
          <w:szCs w:val="24"/>
        </w:rPr>
      </w:pPr>
      <w:r>
        <w:rPr>
          <w:rFonts w:ascii="Georgia" w:eastAsia="Georgia" w:hAnsi="Georgia" w:cs="Georgia"/>
          <w:sz w:val="24"/>
          <w:szCs w:val="24"/>
        </w:rPr>
        <w:t>Pour la Fabrique Écologique «</w:t>
      </w:r>
      <w:r>
        <w:rPr>
          <w:rFonts w:ascii="Georgia" w:eastAsia="Georgia" w:hAnsi="Georgia" w:cs="Georgia"/>
          <w:i/>
          <w:sz w:val="24"/>
          <w:szCs w:val="24"/>
        </w:rPr>
        <w:t xml:space="preserve"> </w:t>
      </w:r>
      <w:r>
        <w:rPr>
          <w:rFonts w:ascii="Georgia" w:eastAsia="Georgia" w:hAnsi="Georgia" w:cs="Georgia"/>
          <w:sz w:val="24"/>
          <w:szCs w:val="24"/>
        </w:rPr>
        <w:t xml:space="preserve">Les low-tech, par opposition </w:t>
      </w:r>
      <w:proofErr w:type="gramStart"/>
      <w:r>
        <w:rPr>
          <w:rFonts w:ascii="Georgia" w:eastAsia="Georgia" w:hAnsi="Georgia" w:cs="Georgia"/>
          <w:sz w:val="24"/>
          <w:szCs w:val="24"/>
        </w:rPr>
        <w:t>aux high-tech</w:t>
      </w:r>
      <w:proofErr w:type="gramEnd"/>
      <w:r>
        <w:rPr>
          <w:rFonts w:ascii="Georgia" w:eastAsia="Georgia" w:hAnsi="Georgia" w:cs="Georgia"/>
          <w:sz w:val="24"/>
          <w:szCs w:val="24"/>
        </w:rPr>
        <w:t>, sont une démarche visant, dans une optique de durabilité [forte], à questionner nos besoins réels et développer des solutions aussi faiblement « technologisées » que possible, minimisant l’énergie requise à la production et à l’usage, utilisant le moins possible de ressources / matériaux rares, n’infligeant pas de coûts cachés à la collectivité.</w:t>
      </w:r>
    </w:p>
    <w:p w14:paraId="1925835D" w14:textId="77777777" w:rsidR="007C240B" w:rsidRDefault="007C240B">
      <w:pPr>
        <w:rPr>
          <w:rFonts w:ascii="Georgia" w:eastAsia="Georgia" w:hAnsi="Georgia" w:cs="Georgia"/>
          <w:sz w:val="24"/>
          <w:szCs w:val="24"/>
        </w:rPr>
      </w:pPr>
    </w:p>
    <w:p w14:paraId="4F2D3B9C" w14:textId="77777777" w:rsidR="007C240B" w:rsidRDefault="007C240B">
      <w:pPr>
        <w:rPr>
          <w:rFonts w:ascii="Georgia" w:eastAsia="Georgia" w:hAnsi="Georgia" w:cs="Georgia"/>
          <w:sz w:val="24"/>
          <w:szCs w:val="24"/>
        </w:rPr>
      </w:pPr>
    </w:p>
    <w:p w14:paraId="1554ABB0" w14:textId="77777777" w:rsidR="007C240B" w:rsidRDefault="00000000">
      <w:pPr>
        <w:rPr>
          <w:rFonts w:ascii="Georgia" w:eastAsia="Georgia" w:hAnsi="Georgia" w:cs="Georgia"/>
          <w:b/>
          <w:sz w:val="28"/>
          <w:szCs w:val="28"/>
        </w:rPr>
      </w:pPr>
      <w:r>
        <w:rPr>
          <w:rFonts w:ascii="Georgia" w:eastAsia="Georgia" w:hAnsi="Georgia" w:cs="Georgia"/>
          <w:b/>
          <w:sz w:val="28"/>
          <w:szCs w:val="28"/>
        </w:rPr>
        <w:t>2.2 Caractériser la démarche low-tech</w:t>
      </w:r>
    </w:p>
    <w:p w14:paraId="6C4B3482" w14:textId="77777777" w:rsidR="007C240B" w:rsidRDefault="007C240B">
      <w:pPr>
        <w:rPr>
          <w:rFonts w:ascii="Georgia" w:eastAsia="Georgia" w:hAnsi="Georgia" w:cs="Georgia"/>
          <w:b/>
          <w:sz w:val="28"/>
          <w:szCs w:val="28"/>
        </w:rPr>
      </w:pPr>
    </w:p>
    <w:p w14:paraId="1C2A5A90" w14:textId="77777777" w:rsidR="007C240B" w:rsidRDefault="00000000">
      <w:pPr>
        <w:rPr>
          <w:rFonts w:ascii="Georgia" w:eastAsia="Georgia" w:hAnsi="Georgia" w:cs="Georgia"/>
          <w:sz w:val="24"/>
          <w:szCs w:val="24"/>
        </w:rPr>
      </w:pPr>
      <w:r>
        <w:rPr>
          <w:rFonts w:ascii="Georgia" w:eastAsia="Georgia" w:hAnsi="Georgia" w:cs="Georgia"/>
          <w:sz w:val="24"/>
          <w:szCs w:val="24"/>
        </w:rPr>
        <w:lastRenderedPageBreak/>
        <w:t>Ces 3 définitions mettent en évidence que la low-tech n’est pas un absolu, un résultat mais bien la démarche qui mène à une solution technique, culturelle, organisationnelle.</w:t>
      </w:r>
    </w:p>
    <w:p w14:paraId="1FE0F931" w14:textId="66CD443F" w:rsidR="007C240B" w:rsidRDefault="00000000">
      <w:pPr>
        <w:rPr>
          <w:rFonts w:ascii="Georgia" w:eastAsia="Georgia" w:hAnsi="Georgia" w:cs="Georgia"/>
        </w:rPr>
      </w:pPr>
      <w:r>
        <w:rPr>
          <w:rFonts w:ascii="Georgia" w:eastAsia="Georgia" w:hAnsi="Georgia" w:cs="Georgia"/>
          <w:sz w:val="24"/>
          <w:szCs w:val="24"/>
        </w:rPr>
        <w:t xml:space="preserve">Ces définitions expliquent très bien ce qu’est un système low-tech. Mais il se dégage de ces définitions une volonté plus grande qu’une définition systémique, c'est-à-dire caractérisant </w:t>
      </w:r>
      <w:r w:rsidR="009C78E7">
        <w:rPr>
          <w:rFonts w:ascii="Georgia" w:eastAsia="Georgia" w:hAnsi="Georgia" w:cs="Georgia"/>
          <w:sz w:val="24"/>
          <w:szCs w:val="24"/>
        </w:rPr>
        <w:t>un</w:t>
      </w:r>
      <w:r>
        <w:rPr>
          <w:rFonts w:ascii="Georgia" w:eastAsia="Georgia" w:hAnsi="Georgia" w:cs="Georgia"/>
          <w:sz w:val="24"/>
          <w:szCs w:val="24"/>
        </w:rPr>
        <w:t xml:space="preserve"> objet.  Parler de démarche low-tech permet </w:t>
      </w:r>
      <w:r>
        <w:rPr>
          <w:rFonts w:ascii="Georgia" w:eastAsia="Georgia" w:hAnsi="Georgia" w:cs="Georgia"/>
        </w:rPr>
        <w:t>de prendre en considération l’intention derrière la conception (éviter le low-tech-</w:t>
      </w:r>
      <w:proofErr w:type="spellStart"/>
      <w:r>
        <w:rPr>
          <w:rFonts w:ascii="Georgia" w:eastAsia="Georgia" w:hAnsi="Georgia" w:cs="Georgia"/>
        </w:rPr>
        <w:t>washing</w:t>
      </w:r>
      <w:proofErr w:type="spellEnd"/>
      <w:r>
        <w:rPr>
          <w:rFonts w:ascii="Georgia" w:eastAsia="Georgia" w:hAnsi="Georgia" w:cs="Georgia"/>
        </w:rPr>
        <w:t>).</w:t>
      </w:r>
    </w:p>
    <w:p w14:paraId="14C48D18" w14:textId="417225EB" w:rsidR="007C240B" w:rsidRDefault="00000000">
      <w:pPr>
        <w:rPr>
          <w:rFonts w:ascii="Georgia" w:eastAsia="Georgia" w:hAnsi="Georgia" w:cs="Georgia"/>
        </w:rPr>
      </w:pPr>
      <w:r>
        <w:rPr>
          <w:rFonts w:ascii="Georgia" w:eastAsia="Georgia" w:hAnsi="Georgia" w:cs="Georgia"/>
        </w:rPr>
        <w:t xml:space="preserve">Cette démarche se structure comme une </w:t>
      </w:r>
      <w:r>
        <w:rPr>
          <w:rFonts w:ascii="Georgia" w:eastAsia="Georgia" w:hAnsi="Georgia" w:cs="Georgia"/>
          <w:b/>
        </w:rPr>
        <w:t>approche systémique</w:t>
      </w:r>
      <w:r>
        <w:rPr>
          <w:rFonts w:ascii="Georgia" w:eastAsia="Georgia" w:hAnsi="Georgia" w:cs="Georgia"/>
        </w:rPr>
        <w:t xml:space="preserve"> qui s’attaque donc à des leviers d’action </w:t>
      </w:r>
      <w:r w:rsidR="009C78E7">
        <w:rPr>
          <w:rFonts w:ascii="Georgia" w:eastAsia="Georgia" w:hAnsi="Georgia" w:cs="Georgia"/>
        </w:rPr>
        <w:t>structurants :</w:t>
      </w:r>
    </w:p>
    <w:p w14:paraId="53657F59" w14:textId="77777777" w:rsidR="007C240B" w:rsidRDefault="007C240B">
      <w:pPr>
        <w:rPr>
          <w:rFonts w:ascii="Georgia" w:eastAsia="Georgia" w:hAnsi="Georgia" w:cs="Georgia"/>
        </w:rPr>
      </w:pPr>
    </w:p>
    <w:p w14:paraId="77D36AEC" w14:textId="57A9D5D7" w:rsidR="007C240B" w:rsidRDefault="009C78E7">
      <w:pPr>
        <w:numPr>
          <w:ilvl w:val="0"/>
          <w:numId w:val="3"/>
        </w:numPr>
      </w:pPr>
      <w:r>
        <w:rPr>
          <w:rFonts w:ascii="Georgia" w:eastAsia="Georgia" w:hAnsi="Georgia" w:cs="Georgia"/>
        </w:rPr>
        <w:t>Placer</w:t>
      </w:r>
      <w:r w:rsidR="00000000">
        <w:rPr>
          <w:rFonts w:ascii="Georgia" w:eastAsia="Georgia" w:hAnsi="Georgia" w:cs="Georgia"/>
        </w:rPr>
        <w:t xml:space="preserve"> le </w:t>
      </w:r>
      <w:r w:rsidR="00000000">
        <w:rPr>
          <w:rFonts w:ascii="Georgia" w:eastAsia="Georgia" w:hAnsi="Georgia" w:cs="Georgia"/>
          <w:b/>
        </w:rPr>
        <w:t>capital social</w:t>
      </w:r>
      <w:r w:rsidR="00000000">
        <w:rPr>
          <w:rFonts w:ascii="Georgia" w:eastAsia="Georgia" w:hAnsi="Georgia" w:cs="Georgia"/>
        </w:rPr>
        <w:t xml:space="preserve"> </w:t>
      </w:r>
      <w:r w:rsidR="00000000">
        <w:rPr>
          <w:rFonts w:ascii="Georgia" w:eastAsia="Georgia" w:hAnsi="Georgia" w:cs="Georgia"/>
          <w:b/>
        </w:rPr>
        <w:t xml:space="preserve">et environnemental devant capital </w:t>
      </w:r>
      <w:r>
        <w:rPr>
          <w:rFonts w:ascii="Georgia" w:eastAsia="Georgia" w:hAnsi="Georgia" w:cs="Georgia"/>
          <w:b/>
        </w:rPr>
        <w:t>économique</w:t>
      </w:r>
      <w:r>
        <w:rPr>
          <w:rFonts w:ascii="Georgia" w:eastAsia="Georgia" w:hAnsi="Georgia" w:cs="Georgia"/>
        </w:rPr>
        <w:t xml:space="preserve"> (</w:t>
      </w:r>
      <w:r w:rsidR="00000000">
        <w:rPr>
          <w:rFonts w:ascii="Georgia" w:eastAsia="Georgia" w:hAnsi="Georgia" w:cs="Georgia"/>
        </w:rPr>
        <w:t>soutenabilité forte)</w:t>
      </w:r>
    </w:p>
    <w:p w14:paraId="04B9C7AA" w14:textId="714616BF" w:rsidR="007C240B" w:rsidRDefault="009C78E7">
      <w:pPr>
        <w:numPr>
          <w:ilvl w:val="0"/>
          <w:numId w:val="3"/>
        </w:numPr>
      </w:pPr>
      <w:r>
        <w:rPr>
          <w:rFonts w:ascii="Georgia" w:eastAsia="Georgia" w:hAnsi="Georgia" w:cs="Georgia"/>
          <w:b/>
        </w:rPr>
        <w:t>Partager</w:t>
      </w:r>
      <w:r w:rsidR="00000000">
        <w:rPr>
          <w:rFonts w:ascii="Georgia" w:eastAsia="Georgia" w:hAnsi="Georgia" w:cs="Georgia"/>
          <w:b/>
        </w:rPr>
        <w:t xml:space="preserve"> </w:t>
      </w:r>
      <w:r w:rsidR="00000000">
        <w:rPr>
          <w:rFonts w:ascii="Georgia" w:eastAsia="Georgia" w:hAnsi="Georgia" w:cs="Georgia"/>
        </w:rPr>
        <w:t xml:space="preserve">les connaissances pour favoriser la résilience collective </w:t>
      </w:r>
    </w:p>
    <w:p w14:paraId="662D75D5" w14:textId="3A9DEF98" w:rsidR="007C240B" w:rsidRDefault="009C78E7">
      <w:pPr>
        <w:numPr>
          <w:ilvl w:val="0"/>
          <w:numId w:val="3"/>
        </w:numPr>
      </w:pPr>
      <w:r>
        <w:rPr>
          <w:rFonts w:ascii="Georgia" w:eastAsia="Georgia" w:hAnsi="Georgia" w:cs="Georgia"/>
          <w:b/>
        </w:rPr>
        <w:t>Remet</w:t>
      </w:r>
      <w:r w:rsidR="00000000">
        <w:rPr>
          <w:rFonts w:ascii="Georgia" w:eastAsia="Georgia" w:hAnsi="Georgia" w:cs="Georgia"/>
          <w:b/>
        </w:rPr>
        <w:t xml:space="preserve"> en question les besoins, les choix</w:t>
      </w:r>
      <w:r w:rsidR="00000000">
        <w:rPr>
          <w:rFonts w:ascii="Georgia" w:eastAsia="Georgia" w:hAnsi="Georgia" w:cs="Georgia"/>
        </w:rPr>
        <w:t xml:space="preserve"> de consommation et de production, d’utilisation de la technologie (regard </w:t>
      </w:r>
      <w:proofErr w:type="spellStart"/>
      <w:r w:rsidR="00000000">
        <w:rPr>
          <w:rFonts w:ascii="Georgia" w:eastAsia="Georgia" w:hAnsi="Georgia" w:cs="Georgia"/>
        </w:rPr>
        <w:t>technocritique</w:t>
      </w:r>
      <w:proofErr w:type="spellEnd"/>
      <w:r w:rsidR="00000000">
        <w:rPr>
          <w:rFonts w:ascii="Georgia" w:eastAsia="Georgia" w:hAnsi="Georgia" w:cs="Georgia"/>
        </w:rPr>
        <w:t xml:space="preserve">), cherche la </w:t>
      </w:r>
      <w:r w:rsidR="00000000">
        <w:rPr>
          <w:rFonts w:ascii="Georgia" w:eastAsia="Georgia" w:hAnsi="Georgia" w:cs="Georgia"/>
          <w:b/>
        </w:rPr>
        <w:t xml:space="preserve">simplicité </w:t>
      </w:r>
      <w:r w:rsidR="00000000">
        <w:rPr>
          <w:rFonts w:ascii="Georgia" w:eastAsia="Georgia" w:hAnsi="Georgia" w:cs="Georgia"/>
        </w:rPr>
        <w:t xml:space="preserve">et permet ainsi de </w:t>
      </w:r>
      <w:r w:rsidR="00000000">
        <w:rPr>
          <w:rFonts w:ascii="Georgia" w:eastAsia="Georgia" w:hAnsi="Georgia" w:cs="Georgia"/>
          <w:b/>
        </w:rPr>
        <w:t>nouvelles modalités d’action</w:t>
      </w:r>
    </w:p>
    <w:p w14:paraId="790E6B9B" w14:textId="77777777" w:rsidR="007C240B" w:rsidRDefault="007C240B">
      <w:pPr>
        <w:rPr>
          <w:rFonts w:ascii="Georgia" w:eastAsia="Georgia" w:hAnsi="Georgia" w:cs="Georgia"/>
          <w:sz w:val="24"/>
          <w:szCs w:val="24"/>
        </w:rPr>
      </w:pPr>
    </w:p>
    <w:p w14:paraId="3943037C" w14:textId="77777777" w:rsidR="007C240B" w:rsidRDefault="007C240B">
      <w:pPr>
        <w:rPr>
          <w:rFonts w:ascii="Georgia" w:eastAsia="Georgia" w:hAnsi="Georgia" w:cs="Georgia"/>
          <w:sz w:val="24"/>
          <w:szCs w:val="24"/>
        </w:rPr>
      </w:pPr>
    </w:p>
    <w:p w14:paraId="5AE96E5B" w14:textId="77777777" w:rsidR="007C240B" w:rsidRDefault="00000000">
      <w:pPr>
        <w:ind w:left="720"/>
        <w:jc w:val="both"/>
        <w:rPr>
          <w:rFonts w:ascii="Georgia" w:eastAsia="Georgia" w:hAnsi="Georgia" w:cs="Georgia"/>
          <w:sz w:val="24"/>
          <w:szCs w:val="24"/>
        </w:rPr>
      </w:pPr>
      <w:r>
        <w:rPr>
          <w:rFonts w:ascii="Georgia" w:eastAsia="Georgia" w:hAnsi="Georgia" w:cs="Georgia"/>
          <w:sz w:val="24"/>
          <w:szCs w:val="24"/>
        </w:rPr>
        <w:tab/>
      </w:r>
    </w:p>
    <w:p w14:paraId="483B8FBF" w14:textId="77777777" w:rsidR="007C240B" w:rsidRDefault="007C240B">
      <w:pPr>
        <w:rPr>
          <w:rFonts w:ascii="Georgia" w:eastAsia="Georgia" w:hAnsi="Georgia" w:cs="Georgia"/>
          <w:sz w:val="24"/>
          <w:szCs w:val="24"/>
        </w:rPr>
      </w:pPr>
    </w:p>
    <w:p w14:paraId="30066170" w14:textId="77777777" w:rsidR="007C240B" w:rsidRDefault="007C240B">
      <w:pPr>
        <w:jc w:val="center"/>
        <w:rPr>
          <w:rFonts w:ascii="Georgia" w:eastAsia="Georgia" w:hAnsi="Georgia" w:cs="Georgia"/>
          <w:b/>
          <w:sz w:val="24"/>
          <w:szCs w:val="24"/>
        </w:rPr>
      </w:pPr>
    </w:p>
    <w:p w14:paraId="7FD4D15D" w14:textId="77777777" w:rsidR="007C240B" w:rsidRDefault="007C240B">
      <w:pPr>
        <w:pStyle w:val="Heading1"/>
        <w:rPr>
          <w:rFonts w:ascii="Georgia" w:eastAsia="Georgia" w:hAnsi="Georgia" w:cs="Georgia"/>
          <w:b/>
          <w:color w:val="666666"/>
        </w:rPr>
      </w:pPr>
      <w:bookmarkStart w:id="3" w:name="_uhsx8uoqlah3" w:colFirst="0" w:colLast="0"/>
      <w:bookmarkEnd w:id="3"/>
    </w:p>
    <w:p w14:paraId="2270C829" w14:textId="77777777" w:rsidR="007C240B" w:rsidRDefault="007C240B"/>
    <w:p w14:paraId="5BBB8B9C" w14:textId="77777777" w:rsidR="007C240B" w:rsidRDefault="00000000">
      <w:pPr>
        <w:pStyle w:val="Heading1"/>
        <w:rPr>
          <w:rFonts w:ascii="Georgia" w:eastAsia="Georgia" w:hAnsi="Georgia" w:cs="Georgia"/>
          <w:b/>
          <w:color w:val="666666"/>
        </w:rPr>
      </w:pPr>
      <w:bookmarkStart w:id="4" w:name="_wavu1a2numc8" w:colFirst="0" w:colLast="0"/>
      <w:bookmarkEnd w:id="4"/>
      <w:r>
        <w:rPr>
          <w:rFonts w:ascii="Georgia" w:eastAsia="Georgia" w:hAnsi="Georgia" w:cs="Georgia"/>
          <w:b/>
          <w:color w:val="666666"/>
        </w:rPr>
        <w:t>3/ Les low-techs de nos jours</w:t>
      </w:r>
    </w:p>
    <w:p w14:paraId="44E7BAC9" w14:textId="77777777" w:rsidR="007C240B" w:rsidRDefault="007C240B">
      <w:pPr>
        <w:jc w:val="both"/>
        <w:rPr>
          <w:rFonts w:ascii="Georgia" w:eastAsia="Georgia" w:hAnsi="Georgia" w:cs="Georgia"/>
          <w:sz w:val="24"/>
          <w:szCs w:val="24"/>
        </w:rPr>
      </w:pPr>
    </w:p>
    <w:p w14:paraId="08F58611" w14:textId="77777777" w:rsidR="007C240B" w:rsidRDefault="00000000">
      <w:pPr>
        <w:rPr>
          <w:rFonts w:ascii="Georgia" w:eastAsia="Georgia" w:hAnsi="Georgia" w:cs="Georgia"/>
          <w:b/>
          <w:sz w:val="28"/>
          <w:szCs w:val="28"/>
        </w:rPr>
      </w:pPr>
      <w:r>
        <w:rPr>
          <w:rFonts w:ascii="Georgia" w:eastAsia="Georgia" w:hAnsi="Georgia" w:cs="Georgia"/>
          <w:b/>
          <w:sz w:val="28"/>
          <w:szCs w:val="28"/>
        </w:rPr>
        <w:t>2.1 Une profusion à petite échelle</w:t>
      </w:r>
    </w:p>
    <w:p w14:paraId="4E24F3DF" w14:textId="77777777" w:rsidR="007C240B" w:rsidRDefault="007C240B">
      <w:pPr>
        <w:rPr>
          <w:rFonts w:ascii="Georgia" w:eastAsia="Georgia" w:hAnsi="Georgia" w:cs="Georgia"/>
          <w:b/>
          <w:sz w:val="28"/>
          <w:szCs w:val="28"/>
        </w:rPr>
      </w:pPr>
    </w:p>
    <w:p w14:paraId="7AAC869A" w14:textId="77777777" w:rsidR="007C240B" w:rsidRDefault="00000000">
      <w:pPr>
        <w:spacing w:after="240"/>
        <w:jc w:val="both"/>
        <w:rPr>
          <w:rFonts w:ascii="Georgia" w:eastAsia="Georgia" w:hAnsi="Georgia" w:cs="Georgia"/>
          <w:sz w:val="24"/>
          <w:szCs w:val="24"/>
        </w:rPr>
      </w:pPr>
      <w:r>
        <w:rPr>
          <w:rFonts w:ascii="Georgia" w:eastAsia="Georgia" w:hAnsi="Georgia" w:cs="Georgia"/>
          <w:sz w:val="24"/>
          <w:szCs w:val="24"/>
        </w:rPr>
        <w:t>Les low-techs se distancient aussi du développement durable, il est important de noter la différence entre soutenable et développement durable. Les deux cherchent à respecter des normes sociales, environnementales et sanitaires. La soutenabilité ne cherche pas la croissance mais à assurer de bonnes conditions de vies à tous, sans excès. Le développement durable cherche à continuer la croissance.</w:t>
      </w:r>
    </w:p>
    <w:p w14:paraId="47B4C4EB" w14:textId="77777777" w:rsidR="007C240B" w:rsidRDefault="007C240B">
      <w:pPr>
        <w:spacing w:after="240"/>
        <w:jc w:val="both"/>
        <w:rPr>
          <w:rFonts w:ascii="Georgia" w:eastAsia="Georgia" w:hAnsi="Georgia" w:cs="Georgia"/>
          <w:sz w:val="24"/>
          <w:szCs w:val="24"/>
        </w:rPr>
      </w:pPr>
    </w:p>
    <w:p w14:paraId="7CF358B0" w14:textId="77777777" w:rsidR="007C240B" w:rsidRDefault="00000000">
      <w:pPr>
        <w:spacing w:before="240" w:after="240"/>
        <w:jc w:val="both"/>
        <w:rPr>
          <w:rFonts w:ascii="Georgia" w:eastAsia="Georgia" w:hAnsi="Georgia" w:cs="Georgia"/>
          <w:sz w:val="24"/>
          <w:szCs w:val="24"/>
        </w:rPr>
      </w:pPr>
      <w:r>
        <w:rPr>
          <w:rFonts w:ascii="Georgia" w:eastAsia="Georgia" w:hAnsi="Georgia" w:cs="Georgia"/>
          <w:sz w:val="24"/>
          <w:szCs w:val="24"/>
        </w:rPr>
        <w:t xml:space="preserve">De nombreuses associations et réseaux se créent partout en France et dans le monde pour diffuser l’esprit low-tech. On peut citer la low-tech nation, les low-tech </w:t>
      </w:r>
      <w:proofErr w:type="spellStart"/>
      <w:r>
        <w:rPr>
          <w:rFonts w:ascii="Georgia" w:eastAsia="Georgia" w:hAnsi="Georgia" w:cs="Georgia"/>
          <w:sz w:val="24"/>
          <w:szCs w:val="24"/>
        </w:rPr>
        <w:t>lab</w:t>
      </w:r>
      <w:proofErr w:type="spellEnd"/>
      <w:r>
        <w:rPr>
          <w:rFonts w:ascii="Georgia" w:eastAsia="Georgia" w:hAnsi="Georgia" w:cs="Georgia"/>
          <w:sz w:val="24"/>
          <w:szCs w:val="24"/>
        </w:rPr>
        <w:t>, APALA, tous ces acteurs possèdent des cartes et des réseaux low-tech du territoire dans lesquelles ils agissent.</w:t>
      </w:r>
    </w:p>
    <w:p w14:paraId="1E9E58AB" w14:textId="77777777" w:rsidR="007C240B" w:rsidRDefault="00000000">
      <w:pPr>
        <w:spacing w:before="240" w:after="240"/>
        <w:jc w:val="both"/>
        <w:rPr>
          <w:rFonts w:ascii="Georgia" w:eastAsia="Georgia" w:hAnsi="Georgia" w:cs="Georgia"/>
          <w:sz w:val="24"/>
          <w:szCs w:val="24"/>
        </w:rPr>
      </w:pPr>
      <w:r>
        <w:rPr>
          <w:rFonts w:ascii="Georgia" w:eastAsia="Georgia" w:hAnsi="Georgia" w:cs="Georgia"/>
          <w:sz w:val="24"/>
          <w:szCs w:val="24"/>
        </w:rPr>
        <w:lastRenderedPageBreak/>
        <w:t>Un enjeu avec cette effervescence d’actions et de solutions est de quantifier leurs économies et leur “niveau low-tech”. APALA travaille actuellement sur des indicateurs low-tech permettant de noter un produit sur différents critères (conception, production, transport, utilisation, maintenance, fin de vie) visant à avoir une vision objective, un peu comme le nutri-score, ou l'efficacité énergétique des bâtiments. L'idée est de comparer rapidement deux technologies pour pouvoir prendre la meilleure. Leur travail est accessible en open source (</w:t>
      </w:r>
      <w:r>
        <w:rPr>
          <w:rFonts w:ascii="Georgia" w:eastAsia="Georgia" w:hAnsi="Georgia" w:cs="Georgia"/>
          <w:i/>
          <w:sz w:val="24"/>
          <w:szCs w:val="24"/>
        </w:rPr>
        <w:t xml:space="preserve">voir </w:t>
      </w:r>
      <w:proofErr w:type="spellStart"/>
      <w:r>
        <w:rPr>
          <w:rFonts w:ascii="Georgia" w:eastAsia="Georgia" w:hAnsi="Georgia" w:cs="Georgia"/>
          <w:i/>
          <w:sz w:val="24"/>
          <w:szCs w:val="24"/>
        </w:rPr>
        <w:t>excel</w:t>
      </w:r>
      <w:proofErr w:type="spellEnd"/>
      <w:r>
        <w:rPr>
          <w:rFonts w:ascii="Georgia" w:eastAsia="Georgia" w:hAnsi="Georgia" w:cs="Georgia"/>
          <w:i/>
          <w:sz w:val="24"/>
          <w:szCs w:val="24"/>
        </w:rPr>
        <w:t xml:space="preserve"> APALA : </w:t>
      </w:r>
      <w:hyperlink r:id="rId11">
        <w:r>
          <w:rPr>
            <w:rFonts w:ascii="Georgia" w:eastAsia="Georgia" w:hAnsi="Georgia" w:cs="Georgia"/>
            <w:color w:val="1155CC"/>
            <w:sz w:val="24"/>
            <w:szCs w:val="24"/>
            <w:u w:val="single"/>
          </w:rPr>
          <w:t>https://wiki.apala.fr/doku.php?id=espace_public:recherche_universitaire</w:t>
        </w:r>
      </w:hyperlink>
      <w:r>
        <w:rPr>
          <w:rFonts w:ascii="Georgia" w:eastAsia="Georgia" w:hAnsi="Georgia" w:cs="Georgia"/>
          <w:sz w:val="24"/>
          <w:szCs w:val="24"/>
        </w:rPr>
        <w:t>)</w:t>
      </w:r>
    </w:p>
    <w:p w14:paraId="3BBC4DFF" w14:textId="77777777" w:rsidR="007C240B" w:rsidRDefault="007C240B">
      <w:pPr>
        <w:spacing w:before="240" w:after="240"/>
        <w:jc w:val="both"/>
        <w:rPr>
          <w:rFonts w:ascii="Georgia" w:eastAsia="Georgia" w:hAnsi="Georgia" w:cs="Georgia"/>
          <w:sz w:val="24"/>
          <w:szCs w:val="24"/>
        </w:rPr>
      </w:pPr>
    </w:p>
    <w:p w14:paraId="4208FA1E" w14:textId="77777777" w:rsidR="007C240B" w:rsidRDefault="00000000">
      <w:pPr>
        <w:rPr>
          <w:rFonts w:ascii="Georgia" w:eastAsia="Georgia" w:hAnsi="Georgia" w:cs="Georgia"/>
          <w:sz w:val="24"/>
          <w:szCs w:val="24"/>
        </w:rPr>
      </w:pPr>
      <w:r>
        <w:rPr>
          <w:rFonts w:ascii="Georgia" w:eastAsia="Georgia" w:hAnsi="Georgia" w:cs="Georgia"/>
          <w:b/>
          <w:sz w:val="28"/>
          <w:szCs w:val="28"/>
        </w:rPr>
        <w:t>2.1 Les freins à la low-tech</w:t>
      </w:r>
    </w:p>
    <w:p w14:paraId="6D701980" w14:textId="77777777" w:rsidR="007C240B" w:rsidRDefault="00000000">
      <w:pPr>
        <w:spacing w:before="240" w:after="240"/>
        <w:jc w:val="both"/>
        <w:rPr>
          <w:rFonts w:ascii="Georgia" w:eastAsia="Georgia" w:hAnsi="Georgia" w:cs="Georgia"/>
          <w:sz w:val="24"/>
          <w:szCs w:val="24"/>
        </w:rPr>
      </w:pPr>
      <w:r>
        <w:rPr>
          <w:rFonts w:ascii="Georgia" w:eastAsia="Georgia" w:hAnsi="Georgia" w:cs="Georgia"/>
          <w:sz w:val="24"/>
          <w:szCs w:val="24"/>
        </w:rPr>
        <w:t>La low-tech se confronte au dogme de la réalité. En effet, elle doit trouver un juste milieu entre efficacité, facilité d'emploi et partage/open-source. (</w:t>
      </w:r>
      <w:proofErr w:type="gramStart"/>
      <w:r>
        <w:rPr>
          <w:rFonts w:ascii="Georgia" w:eastAsia="Georgia" w:hAnsi="Georgia" w:cs="Georgia"/>
          <w:sz w:val="24"/>
          <w:szCs w:val="24"/>
        </w:rPr>
        <w:t>ex:</w:t>
      </w:r>
      <w:proofErr w:type="gramEnd"/>
      <w:r>
        <w:rPr>
          <w:rFonts w:ascii="Georgia" w:eastAsia="Georgia" w:hAnsi="Georgia" w:cs="Georgia"/>
          <w:sz w:val="24"/>
          <w:szCs w:val="24"/>
        </w:rPr>
        <w:t xml:space="preserve"> si efficace sur </w:t>
      </w:r>
      <w:proofErr w:type="spellStart"/>
      <w:r>
        <w:rPr>
          <w:rFonts w:ascii="Georgia" w:eastAsia="Georgia" w:hAnsi="Georgia" w:cs="Georgia"/>
          <w:sz w:val="24"/>
          <w:szCs w:val="24"/>
        </w:rPr>
        <w:t>Solidwork</w:t>
      </w:r>
      <w:proofErr w:type="spellEnd"/>
      <w:r>
        <w:rPr>
          <w:rFonts w:ascii="Georgia" w:eastAsia="Georgia" w:hAnsi="Georgia" w:cs="Georgia"/>
          <w:sz w:val="24"/>
          <w:szCs w:val="24"/>
        </w:rPr>
        <w:t xml:space="preserve">, autant s'en servir plutôt que de trop se compliquer la vie avec des </w:t>
      </w:r>
      <w:proofErr w:type="spellStart"/>
      <w:r>
        <w:rPr>
          <w:rFonts w:ascii="Georgia" w:eastAsia="Georgia" w:hAnsi="Georgia" w:cs="Georgia"/>
          <w:sz w:val="24"/>
          <w:szCs w:val="24"/>
        </w:rPr>
        <w:t>opensource</w:t>
      </w:r>
      <w:proofErr w:type="spellEnd"/>
      <w:r>
        <w:rPr>
          <w:rFonts w:ascii="Georgia" w:eastAsia="Georgia" w:hAnsi="Georgia" w:cs="Georgia"/>
          <w:sz w:val="24"/>
          <w:szCs w:val="24"/>
        </w:rPr>
        <w:t xml:space="preserve"> contraignant et non démocratisés).</w:t>
      </w:r>
    </w:p>
    <w:p w14:paraId="008F4415" w14:textId="77777777" w:rsidR="007C240B" w:rsidRDefault="00000000">
      <w:pPr>
        <w:spacing w:before="240" w:after="240"/>
        <w:jc w:val="both"/>
        <w:rPr>
          <w:rFonts w:ascii="Georgia" w:eastAsia="Georgia" w:hAnsi="Georgia" w:cs="Georgia"/>
          <w:sz w:val="24"/>
          <w:szCs w:val="24"/>
        </w:rPr>
      </w:pPr>
      <w:r>
        <w:rPr>
          <w:rFonts w:ascii="Georgia" w:eastAsia="Georgia" w:hAnsi="Georgia" w:cs="Georgia"/>
          <w:sz w:val="24"/>
          <w:szCs w:val="24"/>
        </w:rPr>
        <w:t xml:space="preserve">Ensuite, on peut relever un que les low-techs impliquent plus de responsabilisation de l'utilisateur alors que la tendance </w:t>
      </w:r>
      <w:proofErr w:type="gramStart"/>
      <w:r>
        <w:rPr>
          <w:rFonts w:ascii="Georgia" w:eastAsia="Georgia" w:hAnsi="Georgia" w:cs="Georgia"/>
          <w:sz w:val="24"/>
          <w:szCs w:val="24"/>
        </w:rPr>
        <w:t>est  à</w:t>
      </w:r>
      <w:proofErr w:type="gramEnd"/>
      <w:r>
        <w:rPr>
          <w:rFonts w:ascii="Georgia" w:eastAsia="Georgia" w:hAnsi="Georgia" w:cs="Georgia"/>
          <w:sz w:val="24"/>
          <w:szCs w:val="24"/>
        </w:rPr>
        <w:t xml:space="preserve"> plus de normalisation et d'autonomisation. Ainsi une des difficultés majeures de la low-tech est la recherche pour gagner en expertise et obtenir des certifications (CSTB, Centre scientifique et technique du bâtiment), il faut aussi chercher des financements et doctorants pour faire des bancs d'essai/calibrage.</w:t>
      </w:r>
    </w:p>
    <w:p w14:paraId="1333816B" w14:textId="77777777" w:rsidR="007C240B" w:rsidRDefault="00000000">
      <w:pPr>
        <w:spacing w:before="240" w:after="240"/>
        <w:jc w:val="both"/>
        <w:rPr>
          <w:rFonts w:ascii="Georgia" w:eastAsia="Georgia" w:hAnsi="Georgia" w:cs="Georgia"/>
          <w:sz w:val="24"/>
          <w:szCs w:val="24"/>
        </w:rPr>
      </w:pPr>
      <w:r>
        <w:rPr>
          <w:rFonts w:ascii="Georgia" w:eastAsia="Georgia" w:hAnsi="Georgia" w:cs="Georgia"/>
          <w:sz w:val="24"/>
          <w:szCs w:val="24"/>
        </w:rPr>
        <w:t>Enfin, Il existe d’autres freins aux low-tech : Attractivité limitée, Paradigme économique, Encombrement de l'offre (trop de solutions de "transition"), Difficulté de questionner les besoins et les usages, Freins juridiques et réglementaires, Résistance aux changements/Peu adaptable, Risques de l'effet rebond.</w:t>
      </w:r>
    </w:p>
    <w:p w14:paraId="59470F54" w14:textId="297D84C7" w:rsidR="007C240B" w:rsidRDefault="007C240B" w:rsidP="000A37CF">
      <w:pPr>
        <w:pStyle w:val="Title"/>
        <w:rPr>
          <w:rFonts w:ascii="Georgia" w:eastAsia="Georgia" w:hAnsi="Georgia" w:cs="Georgia"/>
          <w:b/>
        </w:rPr>
      </w:pPr>
      <w:bookmarkStart w:id="5" w:name="_n35aw24zyfdy" w:colFirst="0" w:colLast="0"/>
      <w:bookmarkStart w:id="6" w:name="_7061b3qbecmh" w:colFirst="0" w:colLast="0"/>
      <w:bookmarkStart w:id="7" w:name="_ypadnpb8zb0f" w:colFirst="0" w:colLast="0"/>
      <w:bookmarkEnd w:id="5"/>
      <w:bookmarkEnd w:id="6"/>
      <w:bookmarkEnd w:id="7"/>
    </w:p>
    <w:p w14:paraId="3CC52392" w14:textId="77777777" w:rsidR="009C78E7" w:rsidRDefault="009C78E7" w:rsidP="009C78E7">
      <w:pPr>
        <w:pBdr>
          <w:left w:val="single" w:sz="24" w:space="2" w:color="F1C232"/>
        </w:pBdr>
        <w:jc w:val="both"/>
        <w:rPr>
          <w:rFonts w:ascii="Titillium Web" w:eastAsia="Titillium Web" w:hAnsi="Titillium Web" w:cs="Titillium Web"/>
          <w:b/>
          <w:sz w:val="36"/>
          <w:szCs w:val="36"/>
        </w:rPr>
      </w:pPr>
      <w:r>
        <w:rPr>
          <w:rFonts w:ascii="Titillium Web" w:eastAsia="Titillium Web" w:hAnsi="Titillium Web" w:cs="Titillium Web"/>
          <w:b/>
          <w:sz w:val="36"/>
          <w:szCs w:val="36"/>
        </w:rPr>
        <w:t xml:space="preserve">Complément low-tech (20/09 par JM </w:t>
      </w:r>
      <w:proofErr w:type="spellStart"/>
      <w:r>
        <w:rPr>
          <w:rFonts w:ascii="Titillium Web" w:eastAsia="Titillium Web" w:hAnsi="Titillium Web" w:cs="Titillium Web"/>
          <w:b/>
          <w:sz w:val="36"/>
          <w:szCs w:val="36"/>
        </w:rPr>
        <w:t>Benguigui</w:t>
      </w:r>
      <w:proofErr w:type="spellEnd"/>
      <w:r>
        <w:rPr>
          <w:rFonts w:ascii="Titillium Web" w:eastAsia="Titillium Web" w:hAnsi="Titillium Web" w:cs="Titillium Web"/>
          <w:b/>
          <w:sz w:val="36"/>
          <w:szCs w:val="36"/>
        </w:rPr>
        <w:t>)</w:t>
      </w:r>
    </w:p>
    <w:p w14:paraId="71F26AC2" w14:textId="77777777" w:rsidR="009C78E7" w:rsidRDefault="009C78E7" w:rsidP="009C78E7">
      <w:pPr>
        <w:jc w:val="both"/>
        <w:rPr>
          <w:rFonts w:ascii="Titillium Web" w:eastAsia="Titillium Web" w:hAnsi="Titillium Web" w:cs="Titillium Web"/>
        </w:rPr>
      </w:pPr>
    </w:p>
    <w:p w14:paraId="7BF682B1" w14:textId="77777777" w:rsidR="009C78E7" w:rsidRDefault="009C78E7" w:rsidP="009C78E7">
      <w:pPr>
        <w:jc w:val="both"/>
        <w:rPr>
          <w:rFonts w:ascii="Titillium Web" w:eastAsia="Titillium Web" w:hAnsi="Titillium Web" w:cs="Titillium Web"/>
        </w:rPr>
      </w:pPr>
      <w:r>
        <w:rPr>
          <w:rFonts w:ascii="Titillium Web" w:eastAsia="Titillium Web" w:hAnsi="Titillium Web" w:cs="Titillium Web"/>
        </w:rPr>
        <w:t xml:space="preserve">Technophobe ? Non, mais techno-critique ! </w:t>
      </w:r>
    </w:p>
    <w:p w14:paraId="3B00C7FF" w14:textId="77777777" w:rsidR="009C78E7" w:rsidRDefault="009C78E7" w:rsidP="009C78E7">
      <w:pPr>
        <w:jc w:val="both"/>
        <w:rPr>
          <w:rFonts w:ascii="Titillium Web" w:eastAsia="Titillium Web" w:hAnsi="Titillium Web" w:cs="Titillium Web"/>
        </w:rPr>
      </w:pPr>
      <w:r>
        <w:rPr>
          <w:rFonts w:ascii="Titillium Web" w:eastAsia="Titillium Web" w:hAnsi="Titillium Web" w:cs="Titillium Web"/>
        </w:rPr>
        <w:t>Juste dosage technologique : fixer un niveau technologie optimal avec des dimensions organisationnelles, systémiques, culturelles, politiques, philosophiques…</w:t>
      </w:r>
    </w:p>
    <w:p w14:paraId="280559AE" w14:textId="77777777" w:rsidR="009C78E7" w:rsidRDefault="009C78E7" w:rsidP="009C78E7">
      <w:pPr>
        <w:jc w:val="both"/>
        <w:rPr>
          <w:rFonts w:ascii="Titillium Web" w:eastAsia="Titillium Web" w:hAnsi="Titillium Web" w:cs="Titillium Web"/>
        </w:rPr>
      </w:pPr>
      <w:proofErr w:type="gramStart"/>
      <w:r>
        <w:rPr>
          <w:rFonts w:ascii="Titillium Web" w:eastAsia="Titillium Web" w:hAnsi="Titillium Web" w:cs="Titillium Web"/>
        </w:rPr>
        <w:t>low</w:t>
      </w:r>
      <w:proofErr w:type="gramEnd"/>
      <w:r>
        <w:rPr>
          <w:rFonts w:ascii="Titillium Web" w:eastAsia="Titillium Web" w:hAnsi="Titillium Web" w:cs="Titillium Web"/>
        </w:rPr>
        <w:t xml:space="preserve"> </w:t>
      </w:r>
      <w:proofErr w:type="spellStart"/>
      <w:r>
        <w:rPr>
          <w:rFonts w:ascii="Titillium Web" w:eastAsia="Titillium Web" w:hAnsi="Titillium Web" w:cs="Titillium Web"/>
        </w:rPr>
        <w:t>cost</w:t>
      </w:r>
      <w:proofErr w:type="spellEnd"/>
      <w:r>
        <w:rPr>
          <w:rFonts w:ascii="Titillium Web" w:eastAsia="Titillium Web" w:hAnsi="Titillium Web" w:cs="Titillium Web"/>
        </w:rPr>
        <w:t xml:space="preserve"> =/= low-tech : peut nécessiter des investissements fort en R &amp; D.</w:t>
      </w:r>
    </w:p>
    <w:p w14:paraId="704E2C18" w14:textId="77777777" w:rsidR="009C78E7" w:rsidRDefault="009C78E7" w:rsidP="009C78E7">
      <w:pPr>
        <w:jc w:val="both"/>
        <w:rPr>
          <w:rFonts w:ascii="Titillium Web" w:eastAsia="Titillium Web" w:hAnsi="Titillium Web" w:cs="Titillium Web"/>
        </w:rPr>
      </w:pPr>
    </w:p>
    <w:p w14:paraId="01FE844B" w14:textId="77777777" w:rsidR="009C78E7" w:rsidRDefault="009C78E7" w:rsidP="009C78E7">
      <w:pPr>
        <w:jc w:val="both"/>
        <w:rPr>
          <w:rFonts w:ascii="Titillium Web" w:eastAsia="Titillium Web" w:hAnsi="Titillium Web" w:cs="Titillium Web"/>
        </w:rPr>
      </w:pPr>
      <w:proofErr w:type="gramStart"/>
      <w:r>
        <w:rPr>
          <w:rFonts w:ascii="Titillium Web" w:eastAsia="Titillium Web" w:hAnsi="Titillium Web" w:cs="Titillium Web"/>
        </w:rPr>
        <w:t>/!\</w:t>
      </w:r>
      <w:proofErr w:type="gramEnd"/>
      <w:r>
        <w:rPr>
          <w:rFonts w:ascii="Titillium Web" w:eastAsia="Titillium Web" w:hAnsi="Titillium Web" w:cs="Titillium Web"/>
        </w:rPr>
        <w:t xml:space="preserve"> effet rebond et fausse durabilité, pas de durabilité forte</w:t>
      </w:r>
    </w:p>
    <w:p w14:paraId="1C25D032" w14:textId="77777777" w:rsidR="009C78E7" w:rsidRDefault="009C78E7" w:rsidP="009C78E7">
      <w:pPr>
        <w:jc w:val="both"/>
        <w:rPr>
          <w:rFonts w:ascii="Titillium Web" w:eastAsia="Titillium Web" w:hAnsi="Titillium Web" w:cs="Titillium Web"/>
        </w:rPr>
      </w:pPr>
    </w:p>
    <w:p w14:paraId="71B0C250" w14:textId="77777777" w:rsidR="009C78E7" w:rsidRDefault="009C78E7" w:rsidP="009C78E7">
      <w:pPr>
        <w:jc w:val="both"/>
        <w:rPr>
          <w:rFonts w:ascii="Titillium Web" w:eastAsia="Titillium Web" w:hAnsi="Titillium Web" w:cs="Titillium Web"/>
          <w:sz w:val="26"/>
          <w:szCs w:val="26"/>
        </w:rPr>
      </w:pPr>
      <w:proofErr w:type="gramStart"/>
      <w:r>
        <w:rPr>
          <w:rFonts w:ascii="Titillium Web" w:eastAsia="Titillium Web" w:hAnsi="Titillium Web" w:cs="Titillium Web"/>
          <w:b/>
          <w:sz w:val="26"/>
          <w:szCs w:val="26"/>
        </w:rPr>
        <w:t>ADEME</w:t>
      </w:r>
      <w:r>
        <w:rPr>
          <w:rFonts w:ascii="Titillium Web" w:eastAsia="Titillium Web" w:hAnsi="Titillium Web" w:cs="Titillium Web"/>
          <w:sz w:val="26"/>
          <w:szCs w:val="26"/>
        </w:rPr>
        <w:t>:</w:t>
      </w:r>
      <w:proofErr w:type="gramEnd"/>
      <w:r>
        <w:rPr>
          <w:rFonts w:ascii="Titillium Web" w:eastAsia="Titillium Web" w:hAnsi="Titillium Web" w:cs="Titillium Web"/>
          <w:sz w:val="26"/>
          <w:szCs w:val="26"/>
        </w:rPr>
        <w:t xml:space="preserve"> </w:t>
      </w:r>
    </w:p>
    <w:p w14:paraId="251B7817" w14:textId="77777777" w:rsidR="009C78E7" w:rsidRDefault="009C78E7" w:rsidP="009C78E7">
      <w:pPr>
        <w:numPr>
          <w:ilvl w:val="0"/>
          <w:numId w:val="15"/>
        </w:numPr>
        <w:jc w:val="both"/>
        <w:rPr>
          <w:rFonts w:ascii="Titillium Web" w:eastAsia="Titillium Web" w:hAnsi="Titillium Web" w:cs="Titillium Web"/>
        </w:rPr>
      </w:pPr>
      <w:r>
        <w:rPr>
          <w:rFonts w:ascii="Titillium Web" w:eastAsia="Titillium Web" w:hAnsi="Titillium Web" w:cs="Titillium Web"/>
        </w:rPr>
        <w:t>Prise en compte des limites écologiques</w:t>
      </w:r>
    </w:p>
    <w:p w14:paraId="29DADC1B" w14:textId="77777777" w:rsidR="009C78E7" w:rsidRDefault="009C78E7" w:rsidP="009C78E7">
      <w:pPr>
        <w:numPr>
          <w:ilvl w:val="0"/>
          <w:numId w:val="15"/>
        </w:numPr>
        <w:jc w:val="both"/>
        <w:rPr>
          <w:rFonts w:ascii="Titillium Web" w:eastAsia="Titillium Web" w:hAnsi="Titillium Web" w:cs="Titillium Web"/>
        </w:rPr>
      </w:pPr>
      <w:r>
        <w:rPr>
          <w:rFonts w:ascii="Titillium Web" w:eastAsia="Titillium Web" w:hAnsi="Titillium Web" w:cs="Titillium Web"/>
        </w:rPr>
        <w:t>Questionnement des besoins et recherche frugalité</w:t>
      </w:r>
    </w:p>
    <w:p w14:paraId="4C3AB1CD" w14:textId="77777777" w:rsidR="009C78E7" w:rsidRDefault="009C78E7" w:rsidP="009C78E7">
      <w:pPr>
        <w:numPr>
          <w:ilvl w:val="0"/>
          <w:numId w:val="15"/>
        </w:numPr>
        <w:jc w:val="both"/>
        <w:rPr>
          <w:rFonts w:ascii="Titillium Web" w:eastAsia="Titillium Web" w:hAnsi="Titillium Web" w:cs="Titillium Web"/>
        </w:rPr>
      </w:pPr>
      <w:r>
        <w:rPr>
          <w:rFonts w:ascii="Titillium Web" w:eastAsia="Titillium Web" w:hAnsi="Titillium Web" w:cs="Titillium Web"/>
        </w:rPr>
        <w:lastRenderedPageBreak/>
        <w:t>Accessibilité démarche</w:t>
      </w:r>
    </w:p>
    <w:p w14:paraId="02C3F5F2" w14:textId="77777777" w:rsidR="009C78E7" w:rsidRDefault="009C78E7" w:rsidP="009C78E7">
      <w:pPr>
        <w:numPr>
          <w:ilvl w:val="0"/>
          <w:numId w:val="15"/>
        </w:numPr>
        <w:jc w:val="both"/>
        <w:rPr>
          <w:rFonts w:ascii="Titillium Web" w:eastAsia="Titillium Web" w:hAnsi="Titillium Web" w:cs="Titillium Web"/>
        </w:rPr>
      </w:pPr>
      <w:r>
        <w:rPr>
          <w:rFonts w:ascii="Titillium Web" w:eastAsia="Titillium Web" w:hAnsi="Titillium Web" w:cs="Titillium Web"/>
        </w:rPr>
        <w:t>Prise en compte des implications systémiques</w:t>
      </w:r>
    </w:p>
    <w:p w14:paraId="32BEEAAE" w14:textId="77777777" w:rsidR="009C78E7" w:rsidRDefault="009C78E7" w:rsidP="009C78E7">
      <w:pPr>
        <w:numPr>
          <w:ilvl w:val="0"/>
          <w:numId w:val="15"/>
        </w:numPr>
        <w:jc w:val="both"/>
        <w:rPr>
          <w:rFonts w:ascii="Titillium Web" w:eastAsia="Titillium Web" w:hAnsi="Titillium Web" w:cs="Titillium Web"/>
        </w:rPr>
      </w:pPr>
      <w:r>
        <w:rPr>
          <w:rFonts w:ascii="Titillium Web" w:eastAsia="Titillium Web" w:hAnsi="Titillium Web" w:cs="Titillium Web"/>
        </w:rPr>
        <w:t>Réduction de la complexité ou recherche simplicité</w:t>
      </w:r>
    </w:p>
    <w:p w14:paraId="613DDDAB" w14:textId="77777777" w:rsidR="009C78E7" w:rsidRDefault="009C78E7" w:rsidP="009C78E7">
      <w:pPr>
        <w:numPr>
          <w:ilvl w:val="0"/>
          <w:numId w:val="15"/>
        </w:numPr>
        <w:jc w:val="both"/>
        <w:rPr>
          <w:rFonts w:ascii="Titillium Web" w:eastAsia="Titillium Web" w:hAnsi="Titillium Web" w:cs="Titillium Web"/>
        </w:rPr>
      </w:pPr>
      <w:r>
        <w:rPr>
          <w:rFonts w:ascii="Titillium Web" w:eastAsia="Titillium Web" w:hAnsi="Titillium Web" w:cs="Titillium Web"/>
        </w:rPr>
        <w:t>Remise en cause du lien entre usage et objet</w:t>
      </w:r>
    </w:p>
    <w:p w14:paraId="1D6DCC67" w14:textId="77777777" w:rsidR="009C78E7" w:rsidRDefault="009C78E7" w:rsidP="009C78E7">
      <w:pPr>
        <w:numPr>
          <w:ilvl w:val="0"/>
          <w:numId w:val="15"/>
        </w:numPr>
        <w:jc w:val="both"/>
        <w:rPr>
          <w:rFonts w:ascii="Titillium Web" w:eastAsia="Titillium Web" w:hAnsi="Titillium Web" w:cs="Titillium Web"/>
        </w:rPr>
      </w:pPr>
      <w:r>
        <w:rPr>
          <w:rFonts w:ascii="Titillium Web" w:eastAsia="Titillium Web" w:hAnsi="Titillium Web" w:cs="Titillium Web"/>
        </w:rPr>
        <w:t>Questionner usage et technique</w:t>
      </w:r>
    </w:p>
    <w:p w14:paraId="184758BF" w14:textId="77777777" w:rsidR="009C78E7" w:rsidRDefault="009C78E7" w:rsidP="009C78E7">
      <w:pPr>
        <w:jc w:val="both"/>
        <w:rPr>
          <w:rFonts w:ascii="Titillium Web" w:eastAsia="Titillium Web" w:hAnsi="Titillium Web" w:cs="Titillium Web"/>
        </w:rPr>
      </w:pPr>
    </w:p>
    <w:p w14:paraId="04245C40" w14:textId="77777777" w:rsidR="009C78E7" w:rsidRDefault="009C78E7" w:rsidP="009C78E7">
      <w:pPr>
        <w:jc w:val="both"/>
        <w:rPr>
          <w:rFonts w:ascii="Titillium Web" w:eastAsia="Titillium Web" w:hAnsi="Titillium Web" w:cs="Titillium Web"/>
          <w:b/>
          <w:sz w:val="26"/>
          <w:szCs w:val="26"/>
        </w:rPr>
      </w:pPr>
      <w:r>
        <w:rPr>
          <w:rFonts w:ascii="Titillium Web" w:eastAsia="Titillium Web" w:hAnsi="Titillium Web" w:cs="Titillium Web"/>
          <w:b/>
          <w:sz w:val="26"/>
          <w:szCs w:val="26"/>
        </w:rPr>
        <w:t xml:space="preserve">Economie du </w:t>
      </w:r>
      <w:proofErr w:type="gramStart"/>
      <w:r>
        <w:rPr>
          <w:rFonts w:ascii="Titillium Web" w:eastAsia="Titillium Web" w:hAnsi="Titillium Web" w:cs="Titillium Web"/>
          <w:b/>
          <w:sz w:val="26"/>
          <w:szCs w:val="26"/>
        </w:rPr>
        <w:t>Donuts:</w:t>
      </w:r>
      <w:proofErr w:type="gramEnd"/>
    </w:p>
    <w:p w14:paraId="01F3B3F5" w14:textId="77777777" w:rsidR="009C78E7" w:rsidRDefault="009C78E7" w:rsidP="009C78E7">
      <w:pPr>
        <w:numPr>
          <w:ilvl w:val="0"/>
          <w:numId w:val="14"/>
        </w:numPr>
        <w:jc w:val="both"/>
        <w:rPr>
          <w:rFonts w:ascii="Titillium Web" w:eastAsia="Titillium Web" w:hAnsi="Titillium Web" w:cs="Titillium Web"/>
        </w:rPr>
      </w:pPr>
      <w:r>
        <w:rPr>
          <w:rFonts w:ascii="Titillium Web" w:eastAsia="Titillium Web" w:hAnsi="Titillium Web" w:cs="Titillium Web"/>
        </w:rPr>
        <w:t>Questionner l'économie</w:t>
      </w:r>
    </w:p>
    <w:p w14:paraId="7D4B7406" w14:textId="77777777" w:rsidR="009C78E7" w:rsidRDefault="009C78E7" w:rsidP="009C78E7">
      <w:pPr>
        <w:numPr>
          <w:ilvl w:val="1"/>
          <w:numId w:val="14"/>
        </w:numPr>
        <w:jc w:val="both"/>
        <w:rPr>
          <w:rFonts w:ascii="Titillium Web" w:eastAsia="Titillium Web" w:hAnsi="Titillium Web" w:cs="Titillium Web"/>
        </w:rPr>
      </w:pPr>
      <w:r>
        <w:rPr>
          <w:rFonts w:ascii="Titillium Web" w:eastAsia="Titillium Web" w:hAnsi="Titillium Web" w:cs="Titillium Web"/>
        </w:rPr>
        <w:t>Marché autonome</w:t>
      </w:r>
    </w:p>
    <w:p w14:paraId="52AF08F6" w14:textId="77777777" w:rsidR="009C78E7" w:rsidRDefault="009C78E7" w:rsidP="009C78E7">
      <w:pPr>
        <w:numPr>
          <w:ilvl w:val="1"/>
          <w:numId w:val="14"/>
        </w:numPr>
        <w:jc w:val="both"/>
        <w:rPr>
          <w:rFonts w:ascii="Titillium Web" w:eastAsia="Titillium Web" w:hAnsi="Titillium Web" w:cs="Titillium Web"/>
        </w:rPr>
      </w:pPr>
      <w:r>
        <w:rPr>
          <w:rFonts w:ascii="Titillium Web" w:eastAsia="Titillium Web" w:hAnsi="Titillium Web" w:cs="Titillium Web"/>
        </w:rPr>
        <w:t>Économie intégrer</w:t>
      </w:r>
    </w:p>
    <w:p w14:paraId="1FF79CD0" w14:textId="77777777" w:rsidR="009C78E7" w:rsidRDefault="009C78E7" w:rsidP="009C78E7">
      <w:pPr>
        <w:numPr>
          <w:ilvl w:val="0"/>
          <w:numId w:val="14"/>
        </w:numPr>
        <w:jc w:val="both"/>
        <w:rPr>
          <w:rFonts w:ascii="Titillium Web" w:eastAsia="Titillium Web" w:hAnsi="Titillium Web" w:cs="Titillium Web"/>
        </w:rPr>
      </w:pPr>
      <w:r>
        <w:rPr>
          <w:rFonts w:ascii="Titillium Web" w:eastAsia="Titillium Web" w:hAnsi="Titillium Web" w:cs="Titillium Web"/>
        </w:rPr>
        <w:t>L’homme rationnel</w:t>
      </w:r>
    </w:p>
    <w:p w14:paraId="79478A10" w14:textId="77777777" w:rsidR="009C78E7" w:rsidRDefault="009C78E7" w:rsidP="009C78E7">
      <w:pPr>
        <w:numPr>
          <w:ilvl w:val="0"/>
          <w:numId w:val="14"/>
        </w:numPr>
        <w:jc w:val="both"/>
        <w:rPr>
          <w:rFonts w:ascii="Titillium Web" w:eastAsia="Titillium Web" w:hAnsi="Titillium Web" w:cs="Titillium Web"/>
        </w:rPr>
      </w:pPr>
      <w:r>
        <w:rPr>
          <w:rFonts w:ascii="Titillium Web" w:eastAsia="Titillium Web" w:hAnsi="Titillium Web" w:cs="Titillium Web"/>
        </w:rPr>
        <w:t>Mieux connaître les systèmes</w:t>
      </w:r>
    </w:p>
    <w:p w14:paraId="488871FC" w14:textId="77777777" w:rsidR="009C78E7" w:rsidRDefault="009C78E7" w:rsidP="009C78E7">
      <w:pPr>
        <w:ind w:left="720"/>
        <w:jc w:val="both"/>
        <w:rPr>
          <w:rFonts w:ascii="Titillium Web" w:eastAsia="Titillium Web" w:hAnsi="Titillium Web" w:cs="Titillium Web"/>
        </w:rPr>
      </w:pPr>
      <w:r>
        <w:rPr>
          <w:rFonts w:ascii="Titillium Web" w:eastAsia="Titillium Web" w:hAnsi="Titillium Web" w:cs="Titillium Web"/>
        </w:rPr>
        <w:t xml:space="preserve">XXe siècle Equilibre mécanique (offre demande) -&gt; XXIe </w:t>
      </w:r>
      <w:proofErr w:type="gramStart"/>
      <w:r>
        <w:rPr>
          <w:rFonts w:ascii="Titillium Web" w:eastAsia="Titillium Web" w:hAnsi="Titillium Web" w:cs="Titillium Web"/>
        </w:rPr>
        <w:t>siècle:</w:t>
      </w:r>
      <w:proofErr w:type="gramEnd"/>
      <w:r>
        <w:rPr>
          <w:rFonts w:ascii="Titillium Web" w:eastAsia="Titillium Web" w:hAnsi="Titillium Web" w:cs="Titillium Web"/>
        </w:rPr>
        <w:t xml:space="preserve"> complexité dynamique (avec boucle rétroaction)</w:t>
      </w:r>
    </w:p>
    <w:p w14:paraId="3589B939" w14:textId="77777777" w:rsidR="009C78E7" w:rsidRDefault="009C78E7" w:rsidP="009C78E7">
      <w:pPr>
        <w:numPr>
          <w:ilvl w:val="0"/>
          <w:numId w:val="13"/>
        </w:numPr>
        <w:jc w:val="both"/>
        <w:rPr>
          <w:rFonts w:ascii="Titillium Web" w:eastAsia="Titillium Web" w:hAnsi="Titillium Web" w:cs="Titillium Web"/>
        </w:rPr>
      </w:pPr>
      <w:r>
        <w:rPr>
          <w:rFonts w:ascii="Titillium Web" w:eastAsia="Titillium Web" w:hAnsi="Titillium Web" w:cs="Titillium Web"/>
        </w:rPr>
        <w:t>Redessiner pour redistribuer</w:t>
      </w:r>
    </w:p>
    <w:p w14:paraId="7F939007" w14:textId="77777777" w:rsidR="009C78E7" w:rsidRDefault="009C78E7" w:rsidP="009C78E7">
      <w:pPr>
        <w:jc w:val="both"/>
        <w:rPr>
          <w:rFonts w:ascii="Titillium Web" w:eastAsia="Titillium Web" w:hAnsi="Titillium Web" w:cs="Titillium Web"/>
        </w:rPr>
      </w:pPr>
      <w:r>
        <w:rPr>
          <w:rFonts w:ascii="Titillium Web" w:eastAsia="Titillium Web" w:hAnsi="Titillium Web" w:cs="Titillium Web"/>
        </w:rPr>
        <w:tab/>
      </w:r>
      <w:proofErr w:type="gramStart"/>
      <w:r>
        <w:rPr>
          <w:rFonts w:ascii="Titillium Web" w:eastAsia="Titillium Web" w:hAnsi="Titillium Web" w:cs="Titillium Web"/>
        </w:rPr>
        <w:t>croissance</w:t>
      </w:r>
      <w:proofErr w:type="gramEnd"/>
      <w:r>
        <w:rPr>
          <w:rFonts w:ascii="Titillium Web" w:eastAsia="Titillium Web" w:hAnsi="Titillium Web" w:cs="Titillium Web"/>
        </w:rPr>
        <w:t xml:space="preserve"> aplanira tout ça --&gt; distribuer par dessein</w:t>
      </w:r>
    </w:p>
    <w:p w14:paraId="5B0951F4" w14:textId="77777777" w:rsidR="009C78E7" w:rsidRDefault="009C78E7" w:rsidP="009C78E7">
      <w:pPr>
        <w:numPr>
          <w:ilvl w:val="0"/>
          <w:numId w:val="11"/>
        </w:numPr>
        <w:jc w:val="both"/>
        <w:rPr>
          <w:rFonts w:ascii="Titillium Web" w:eastAsia="Titillium Web" w:hAnsi="Titillium Web" w:cs="Titillium Web"/>
        </w:rPr>
      </w:pPr>
      <w:r>
        <w:rPr>
          <w:rFonts w:ascii="Titillium Web" w:eastAsia="Titillium Web" w:hAnsi="Titillium Web" w:cs="Titillium Web"/>
        </w:rPr>
        <w:t xml:space="preserve">Créer pour </w:t>
      </w:r>
      <w:proofErr w:type="gramStart"/>
      <w:r>
        <w:rPr>
          <w:rFonts w:ascii="Titillium Web" w:eastAsia="Titillium Web" w:hAnsi="Titillium Web" w:cs="Titillium Web"/>
        </w:rPr>
        <w:t>régénérer:</w:t>
      </w:r>
      <w:proofErr w:type="gramEnd"/>
      <w:r>
        <w:rPr>
          <w:rFonts w:ascii="Titillium Web" w:eastAsia="Titillium Web" w:hAnsi="Titillium Web" w:cs="Titillium Web"/>
        </w:rPr>
        <w:t xml:space="preserve"> la croissance résoudra les pb -&gt; génératif par dessein</w:t>
      </w:r>
    </w:p>
    <w:p w14:paraId="0F99EFC2" w14:textId="77777777" w:rsidR="009C78E7" w:rsidRDefault="009C78E7" w:rsidP="009C78E7">
      <w:pPr>
        <w:numPr>
          <w:ilvl w:val="0"/>
          <w:numId w:val="12"/>
        </w:numPr>
        <w:jc w:val="both"/>
        <w:rPr>
          <w:rFonts w:ascii="Titillium Web" w:eastAsia="Titillium Web" w:hAnsi="Titillium Web" w:cs="Titillium Web"/>
        </w:rPr>
      </w:pPr>
      <w:r>
        <w:rPr>
          <w:rFonts w:ascii="Titillium Web" w:eastAsia="Titillium Web" w:hAnsi="Titillium Web" w:cs="Titillium Web"/>
        </w:rPr>
        <w:t>Être agnostique en matière de croissance</w:t>
      </w:r>
    </w:p>
    <w:p w14:paraId="1F8FB175" w14:textId="77777777" w:rsidR="009C78E7" w:rsidRDefault="009C78E7" w:rsidP="009C78E7">
      <w:pPr>
        <w:jc w:val="both"/>
        <w:rPr>
          <w:rFonts w:ascii="Titillium Web" w:eastAsia="Titillium Web" w:hAnsi="Titillium Web" w:cs="Titillium Web"/>
        </w:rPr>
      </w:pPr>
    </w:p>
    <w:p w14:paraId="66979005" w14:textId="77777777" w:rsidR="009C78E7" w:rsidRDefault="009C78E7" w:rsidP="009C78E7">
      <w:pPr>
        <w:jc w:val="both"/>
        <w:rPr>
          <w:rFonts w:ascii="Titillium Web" w:eastAsia="Titillium Web" w:hAnsi="Titillium Web" w:cs="Titillium Web"/>
          <w:b/>
        </w:rPr>
      </w:pPr>
      <w:r>
        <w:rPr>
          <w:rFonts w:ascii="Titillium Web" w:eastAsia="Titillium Web" w:hAnsi="Titillium Web" w:cs="Titillium Web"/>
          <w:b/>
        </w:rPr>
        <w:t xml:space="preserve">Global </w:t>
      </w:r>
      <w:proofErr w:type="spellStart"/>
      <w:r>
        <w:rPr>
          <w:rFonts w:ascii="Titillium Web" w:eastAsia="Titillium Web" w:hAnsi="Titillium Web" w:cs="Titillium Web"/>
          <w:b/>
        </w:rPr>
        <w:t>footprint</w:t>
      </w:r>
      <w:proofErr w:type="spellEnd"/>
      <w:r>
        <w:rPr>
          <w:rFonts w:ascii="Titillium Web" w:eastAsia="Titillium Web" w:hAnsi="Titillium Web" w:cs="Titillium Web"/>
          <w:b/>
        </w:rPr>
        <w:t xml:space="preserve"> network</w:t>
      </w:r>
    </w:p>
    <w:p w14:paraId="5F7D0AB2" w14:textId="77777777" w:rsidR="009C78E7" w:rsidRDefault="009C78E7" w:rsidP="009C78E7">
      <w:pPr>
        <w:jc w:val="both"/>
        <w:rPr>
          <w:rFonts w:ascii="Titillium Web" w:eastAsia="Titillium Web" w:hAnsi="Titillium Web" w:cs="Titillium Web"/>
        </w:rPr>
      </w:pPr>
      <w:r>
        <w:rPr>
          <w:rFonts w:ascii="Titillium Web" w:eastAsia="Titillium Web" w:hAnsi="Titillium Web" w:cs="Titillium Web"/>
        </w:rPr>
        <w:t xml:space="preserve">1969 - une planète tout juste pour satisfaire les besoins humains. </w:t>
      </w:r>
    </w:p>
    <w:p w14:paraId="5B104AAB" w14:textId="77777777" w:rsidR="009C78E7" w:rsidRDefault="009C78E7" w:rsidP="009C78E7">
      <w:pPr>
        <w:jc w:val="both"/>
        <w:rPr>
          <w:rFonts w:ascii="Titillium Web" w:eastAsia="Titillium Web" w:hAnsi="Titillium Web" w:cs="Titillium Web"/>
        </w:rPr>
      </w:pPr>
      <w:r>
        <w:rPr>
          <w:rFonts w:ascii="Titillium Web" w:eastAsia="Titillium Web" w:hAnsi="Titillium Web" w:cs="Titillium Web"/>
        </w:rPr>
        <w:t>Aujourd’hui 1.75 planète nécessaire</w:t>
      </w:r>
    </w:p>
    <w:p w14:paraId="1B0D7391" w14:textId="77777777" w:rsidR="009C78E7" w:rsidRDefault="009C78E7" w:rsidP="009C78E7">
      <w:pPr>
        <w:jc w:val="both"/>
        <w:rPr>
          <w:rFonts w:ascii="Titillium Web" w:eastAsia="Titillium Web" w:hAnsi="Titillium Web" w:cs="Titillium Web"/>
        </w:rPr>
      </w:pPr>
    </w:p>
    <w:p w14:paraId="6E17354D" w14:textId="77777777" w:rsidR="009C78E7" w:rsidRDefault="009C78E7" w:rsidP="009C78E7">
      <w:pPr>
        <w:jc w:val="both"/>
        <w:rPr>
          <w:rFonts w:ascii="Titillium Web" w:eastAsia="Titillium Web" w:hAnsi="Titillium Web" w:cs="Titillium Web"/>
        </w:rPr>
      </w:pPr>
      <w:r>
        <w:rPr>
          <w:rFonts w:ascii="Titillium Web" w:eastAsia="Titillium Web" w:hAnsi="Titillium Web" w:cs="Titillium Web"/>
        </w:rPr>
        <w:t>Questionner les besoins locaux, l'influence des ressources, l'éthique, la tradition…</w:t>
      </w:r>
    </w:p>
    <w:p w14:paraId="0B64AA96" w14:textId="77777777" w:rsidR="009C78E7" w:rsidRDefault="009C78E7" w:rsidP="009C78E7">
      <w:pPr>
        <w:jc w:val="both"/>
        <w:rPr>
          <w:rFonts w:ascii="Titillium Web" w:eastAsia="Titillium Web" w:hAnsi="Titillium Web" w:cs="Titillium Web"/>
        </w:rPr>
      </w:pPr>
      <w:proofErr w:type="gramStart"/>
      <w:r>
        <w:rPr>
          <w:rFonts w:ascii="Titillium Web" w:eastAsia="Titillium Web" w:hAnsi="Titillium Web" w:cs="Titillium Web"/>
        </w:rPr>
        <w:t>ex</w:t>
      </w:r>
      <w:proofErr w:type="gramEnd"/>
      <w:r>
        <w:rPr>
          <w:rFonts w:ascii="Titillium Web" w:eastAsia="Titillium Web" w:hAnsi="Titillium Web" w:cs="Titillium Web"/>
        </w:rPr>
        <w:t xml:space="preserve"> : petit blanc qui amène sa solution éolienne </w:t>
      </w:r>
      <w:proofErr w:type="spellStart"/>
      <w:r>
        <w:rPr>
          <w:rFonts w:ascii="Titillium Web" w:eastAsia="Titillium Web" w:hAnsi="Titillium Web" w:cs="Titillium Web"/>
        </w:rPr>
        <w:t>piggott</w:t>
      </w:r>
      <w:proofErr w:type="spellEnd"/>
      <w:r>
        <w:rPr>
          <w:rFonts w:ascii="Titillium Web" w:eastAsia="Titillium Web" w:hAnsi="Titillium Web" w:cs="Titillium Web"/>
        </w:rPr>
        <w:t xml:space="preserve"> toute faite, au final, trop chère, pas adapté aux besoins, matériaux indisponible.</w:t>
      </w:r>
    </w:p>
    <w:p w14:paraId="2FF0E747" w14:textId="77777777" w:rsidR="009C78E7" w:rsidRDefault="009C78E7" w:rsidP="009C78E7">
      <w:pPr>
        <w:jc w:val="both"/>
        <w:rPr>
          <w:rFonts w:ascii="Titillium Web" w:eastAsia="Titillium Web" w:hAnsi="Titillium Web" w:cs="Titillium Web"/>
        </w:rPr>
      </w:pPr>
    </w:p>
    <w:p w14:paraId="47E55DC4" w14:textId="77777777" w:rsidR="009C78E7" w:rsidRDefault="009C78E7" w:rsidP="009C78E7">
      <w:pPr>
        <w:jc w:val="both"/>
        <w:rPr>
          <w:rFonts w:ascii="Titillium Web" w:eastAsia="Titillium Web" w:hAnsi="Titillium Web" w:cs="Titillium Web"/>
        </w:rPr>
      </w:pPr>
      <w:r>
        <w:rPr>
          <w:rFonts w:ascii="Titillium Web" w:eastAsia="Titillium Web" w:hAnsi="Titillium Web" w:cs="Titillium Web"/>
          <w:b/>
        </w:rPr>
        <w:t xml:space="preserve">Subsidiarité </w:t>
      </w:r>
      <w:r>
        <w:rPr>
          <w:rFonts w:ascii="Titillium Web" w:eastAsia="Titillium Web" w:hAnsi="Titillium Web" w:cs="Titillium Web"/>
        </w:rPr>
        <w:t xml:space="preserve">: </w:t>
      </w:r>
      <w:r>
        <w:rPr>
          <w:rFonts w:ascii="Titillium Web" w:eastAsia="Titillium Web" w:hAnsi="Titillium Web" w:cs="Titillium Web"/>
          <w:i/>
        </w:rPr>
        <w:t>la responsabilité d’une action (lorsqu’elle est nécessaire), doit revenir à l’entité compétente la plus proche de ceux qui sont directement concernés par la tâche</w:t>
      </w:r>
      <w:r>
        <w:rPr>
          <w:rFonts w:ascii="Titillium Web" w:eastAsia="Titillium Web" w:hAnsi="Titillium Web" w:cs="Titillium Web"/>
        </w:rPr>
        <w:t xml:space="preserve">, </w:t>
      </w:r>
      <w:proofErr w:type="spellStart"/>
      <w:r>
        <w:rPr>
          <w:rFonts w:ascii="Titillium Web" w:eastAsia="Titillium Web" w:hAnsi="Titillium Web" w:cs="Titillium Web"/>
          <w:i/>
        </w:rPr>
        <w:t>iid</w:t>
      </w:r>
      <w:proofErr w:type="spellEnd"/>
      <w:r>
        <w:rPr>
          <w:rFonts w:ascii="Titillium Web" w:eastAsia="Titillium Web" w:hAnsi="Titillium Web" w:cs="Titillium Web"/>
          <w:i/>
        </w:rPr>
        <w:t xml:space="preserve"> est</w:t>
      </w:r>
      <w:r>
        <w:rPr>
          <w:rFonts w:ascii="Titillium Web" w:eastAsia="Titillium Web" w:hAnsi="Titillium Web" w:cs="Titillium Web"/>
        </w:rPr>
        <w:t xml:space="preserve"> la solution doit émerger des personnes concernées.</w:t>
      </w:r>
    </w:p>
    <w:p w14:paraId="454B1347" w14:textId="77777777" w:rsidR="009C78E7" w:rsidRDefault="009C78E7" w:rsidP="009C78E7">
      <w:pPr>
        <w:jc w:val="both"/>
        <w:rPr>
          <w:rFonts w:ascii="Titillium Web" w:eastAsia="Titillium Web" w:hAnsi="Titillium Web" w:cs="Titillium Web"/>
        </w:rPr>
      </w:pPr>
    </w:p>
    <w:p w14:paraId="6C2F53EC" w14:textId="77777777" w:rsidR="009C78E7" w:rsidRDefault="009C78E7" w:rsidP="009C78E7">
      <w:pPr>
        <w:jc w:val="both"/>
        <w:rPr>
          <w:rFonts w:ascii="Titillium Web" w:eastAsia="Titillium Web" w:hAnsi="Titillium Web" w:cs="Titillium Web"/>
        </w:rPr>
      </w:pPr>
    </w:p>
    <w:p w14:paraId="4F5BA0CE" w14:textId="37AB2C09" w:rsidR="009C78E7" w:rsidRPr="009C78E7" w:rsidRDefault="009C78E7" w:rsidP="009C78E7"/>
    <w:sectPr w:rsidR="009C78E7" w:rsidRPr="009C78E7">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69224" w14:textId="77777777" w:rsidR="00136598" w:rsidRDefault="00136598">
      <w:pPr>
        <w:spacing w:line="240" w:lineRule="auto"/>
      </w:pPr>
      <w:r>
        <w:separator/>
      </w:r>
    </w:p>
  </w:endnote>
  <w:endnote w:type="continuationSeparator" w:id="0">
    <w:p w14:paraId="1B8F7563" w14:textId="77777777" w:rsidR="00136598" w:rsidRDefault="001365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eb">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80A68" w14:textId="77777777" w:rsidR="00136598" w:rsidRDefault="00136598">
      <w:pPr>
        <w:spacing w:line="240" w:lineRule="auto"/>
      </w:pPr>
      <w:r>
        <w:separator/>
      </w:r>
    </w:p>
  </w:footnote>
  <w:footnote w:type="continuationSeparator" w:id="0">
    <w:p w14:paraId="12278CF3" w14:textId="77777777" w:rsidR="00136598" w:rsidRDefault="001365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EBBB" w14:textId="77777777" w:rsidR="007C240B" w:rsidRDefault="00000000">
    <w:r>
      <w:rPr>
        <w:noProof/>
      </w:rPr>
      <w:drawing>
        <wp:anchor distT="114300" distB="114300" distL="114300" distR="114300" simplePos="0" relativeHeight="251658240" behindDoc="0" locked="0" layoutInCell="1" hidden="0" allowOverlap="1" wp14:anchorId="34CAC3EC" wp14:editId="61CB1670">
          <wp:simplePos x="0" y="0"/>
          <wp:positionH relativeFrom="column">
            <wp:posOffset>5076825</wp:posOffset>
          </wp:positionH>
          <wp:positionV relativeFrom="paragraph">
            <wp:posOffset>-200024</wp:posOffset>
          </wp:positionV>
          <wp:extent cx="1271588" cy="242606"/>
          <wp:effectExtent l="0" t="0" r="0" b="0"/>
          <wp:wrapNone/>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271588" cy="242606"/>
                  </a:xfrm>
                  <a:prstGeom prst="rect">
                    <a:avLst/>
                  </a:prstGeom>
                  <a:ln/>
                </pic:spPr>
              </pic:pic>
            </a:graphicData>
          </a:graphic>
        </wp:anchor>
      </w:drawing>
    </w:r>
    <w:r>
      <w:rPr>
        <w:noProof/>
      </w:rPr>
      <w:drawing>
        <wp:anchor distT="114300" distB="114300" distL="114300" distR="114300" simplePos="0" relativeHeight="251659264" behindDoc="0" locked="0" layoutInCell="1" hidden="0" allowOverlap="1" wp14:anchorId="4728C17F" wp14:editId="0193F3D1">
          <wp:simplePos x="0" y="0"/>
          <wp:positionH relativeFrom="column">
            <wp:posOffset>-714374</wp:posOffset>
          </wp:positionH>
          <wp:positionV relativeFrom="paragraph">
            <wp:posOffset>-295274</wp:posOffset>
          </wp:positionV>
          <wp:extent cx="852488" cy="426244"/>
          <wp:effectExtent l="0" t="0" r="0" b="0"/>
          <wp:wrapNone/>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852488" cy="426244"/>
                  </a:xfrm>
                  <a:prstGeom prst="rect">
                    <a:avLst/>
                  </a:prstGeom>
                  <a:ln/>
                </pic:spPr>
              </pic:pic>
            </a:graphicData>
          </a:graphic>
        </wp:anchor>
      </w:drawing>
    </w:r>
  </w:p>
  <w:p w14:paraId="680159E5" w14:textId="77777777" w:rsidR="007C240B" w:rsidRDefault="00000000">
    <w:r>
      <w:pict w14:anchorId="23FD41C4">
        <v:rect id="_x0000_i1027" style="width:0;height:1.5pt" o:hralign="center" o:hrstd="t" o:hr="t" fillcolor="#a0a0a0" stroked="f"/>
      </w:pict>
    </w:r>
  </w:p>
  <w:p w14:paraId="16E294CA" w14:textId="77777777" w:rsidR="007C240B" w:rsidRDefault="007C24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16957"/>
    <w:multiLevelType w:val="multilevel"/>
    <w:tmpl w:val="EA567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BC809C1"/>
    <w:multiLevelType w:val="multilevel"/>
    <w:tmpl w:val="C52EF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1D434E"/>
    <w:multiLevelType w:val="multilevel"/>
    <w:tmpl w:val="8CF87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3646A10"/>
    <w:multiLevelType w:val="multilevel"/>
    <w:tmpl w:val="5FBAE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D246A28"/>
    <w:multiLevelType w:val="multilevel"/>
    <w:tmpl w:val="BCFEF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E890808"/>
    <w:multiLevelType w:val="multilevel"/>
    <w:tmpl w:val="AE0A3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8ED60B0"/>
    <w:multiLevelType w:val="multilevel"/>
    <w:tmpl w:val="FCD40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BEC52F6"/>
    <w:multiLevelType w:val="multilevel"/>
    <w:tmpl w:val="FE2EF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FE75EC3"/>
    <w:multiLevelType w:val="multilevel"/>
    <w:tmpl w:val="409C0C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3940316"/>
    <w:multiLevelType w:val="multilevel"/>
    <w:tmpl w:val="39B42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98D0591"/>
    <w:multiLevelType w:val="multilevel"/>
    <w:tmpl w:val="8550E4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CF65936"/>
    <w:multiLevelType w:val="multilevel"/>
    <w:tmpl w:val="8F2C3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F6D071E"/>
    <w:multiLevelType w:val="multilevel"/>
    <w:tmpl w:val="71D46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36410A5"/>
    <w:multiLevelType w:val="multilevel"/>
    <w:tmpl w:val="789C5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8216532"/>
    <w:multiLevelType w:val="multilevel"/>
    <w:tmpl w:val="034A6D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47946542">
    <w:abstractNumId w:val="7"/>
  </w:num>
  <w:num w:numId="2" w16cid:durableId="53435915">
    <w:abstractNumId w:val="2"/>
  </w:num>
  <w:num w:numId="3" w16cid:durableId="1207327751">
    <w:abstractNumId w:val="3"/>
  </w:num>
  <w:num w:numId="4" w16cid:durableId="780146510">
    <w:abstractNumId w:val="10"/>
  </w:num>
  <w:num w:numId="5" w16cid:durableId="669454305">
    <w:abstractNumId w:val="6"/>
  </w:num>
  <w:num w:numId="6" w16cid:durableId="1516260716">
    <w:abstractNumId w:val="14"/>
  </w:num>
  <w:num w:numId="7" w16cid:durableId="251821441">
    <w:abstractNumId w:val="4"/>
  </w:num>
  <w:num w:numId="8" w16cid:durableId="187136250">
    <w:abstractNumId w:val="5"/>
  </w:num>
  <w:num w:numId="9" w16cid:durableId="2047827099">
    <w:abstractNumId w:val="12"/>
  </w:num>
  <w:num w:numId="10" w16cid:durableId="1172184407">
    <w:abstractNumId w:val="13"/>
  </w:num>
  <w:num w:numId="11" w16cid:durableId="428350211">
    <w:abstractNumId w:val="11"/>
  </w:num>
  <w:num w:numId="12" w16cid:durableId="2125687665">
    <w:abstractNumId w:val="9"/>
  </w:num>
  <w:num w:numId="13" w16cid:durableId="482161150">
    <w:abstractNumId w:val="1"/>
  </w:num>
  <w:num w:numId="14" w16cid:durableId="250043101">
    <w:abstractNumId w:val="8"/>
  </w:num>
  <w:num w:numId="15" w16cid:durableId="264504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40B"/>
    <w:rsid w:val="000A37CF"/>
    <w:rsid w:val="00136598"/>
    <w:rsid w:val="00640A0F"/>
    <w:rsid w:val="007C240B"/>
    <w:rsid w:val="009C78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3C5"/>
  <w15:docId w15:val="{58E79088-E375-4BAE-B915-8C562FD69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lowtechlab.org/fr/la-low-tec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fos.ademe.fr/lettre-strategie-juin-2021/la-sobriete-une-aspiration-croissante-pas-encore-un-projet-de-societ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iki.apala.fr/doku.php?id=espace_public:recherche_universitaire"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1688</Words>
  <Characters>9289</Characters>
  <Application>Microsoft Office Word</Application>
  <DocSecurity>0</DocSecurity>
  <Lines>77</Lines>
  <Paragraphs>21</Paragraphs>
  <ScaleCrop>false</ScaleCrop>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Guilwen MEUNIER</cp:lastModifiedBy>
  <cp:revision>3</cp:revision>
  <dcterms:created xsi:type="dcterms:W3CDTF">2023-03-31T08:44:00Z</dcterms:created>
  <dcterms:modified xsi:type="dcterms:W3CDTF">2023-03-31T08:51:00Z</dcterms:modified>
</cp:coreProperties>
</file>